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GiMedAusbV — Prüfungsbereiche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„Immersive Medien produzieren“,</w:t>
      </w:r>
    </w:p>
    <w:p>
      <w:pPr>
        <w:ind w:left="420"/>
      </w:pPr>
      <w:r>
        <w:t xml:space="preserve">2. „Immersive Medien konzipieren und gestalten“,</w:t>
      </w:r>
    </w:p>
    <w:p>
      <w:pPr>
        <w:ind w:left="420"/>
      </w:pPr>
      <w:r>
        <w:t xml:space="preserve">3. „Produktion von immersiven Medien organisieren und umsetzen“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14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