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GiMedAusbV — Prüfungsbereich „Immersive Medienprodukte in Entwicklungsumgebungen vorbereiten und erstellen“</w:t>
      </w:r>
    </w:p>
    <w:p>
      <w:r>
        <w:rPr>
          <w:color w:val="555555"/>
          <w:sz w:val="18"/>
        </w:rPr>
        <w:t xml:space="preserve">Gestalter-immersive-Medien-Ausbildungsverordnung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„Immersive Medienprodukte in Entwicklungsumgebungen vorbereiten und erstellen“ hat der Prüfling nachzuweisen, dass er in der Lage ist,</w:t>
      </w:r>
    </w:p>
    <w:p>
      <w:pPr>
        <w:ind w:left="420"/>
      </w:pPr>
      <w:r>
        <w:t xml:space="preserve">1. Produktionsmittel zur Erstellung und Bearbeitung von Bild- und Tonaufnahmen auszuwählen sowie deren Einrichtung und Einsatz zu beschreiben,</w:t>
      </w:r>
    </w:p>
    <w:p>
      <w:pPr>
        <w:ind w:left="420"/>
      </w:pPr>
      <w:r>
        <w:t xml:space="preserve">2. konzeptionelle, technische und gestalterische Vorgaben für die Erstellung und Bearbeitung von immersiven Medienprodukten in Entwicklungsumgebungen zu beachten,</w:t>
      </w:r>
    </w:p>
    <w:p>
      <w:pPr>
        <w:ind w:left="420"/>
      </w:pPr>
      <w:r>
        <w:t xml:space="preserve">3. Informationen zu beschaffen und auszuwerten, auch in englischer Sprache,</w:t>
      </w:r>
    </w:p>
    <w:p>
      <w:pPr>
        <w:ind w:left="420"/>
      </w:pPr>
      <w:r>
        <w:t xml:space="preserve">4. Daten zu organisieren und Archivierungstechniken zu bewerten und auszuwählen,</w:t>
      </w:r>
    </w:p>
    <w:p>
      <w:pPr>
        <w:ind w:left="420"/>
      </w:pPr>
      <w:r>
        <w:t xml:space="preserve">5. die Erstellung immersiver Medienprodukte zu beschreiben und</w:t>
      </w:r>
    </w:p>
    <w:p>
      <w:pPr>
        <w:ind w:left="420"/>
      </w:pPr>
      <w:r>
        <w:t xml:space="preserve">6. rechtliche Grundlagen bei der Medienproduktion zu berücksichtigen.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10 GiMedAusbV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https://recht.nulegal.eu/gesetze/GiMedAusbV/10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