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GfwtDBwVDV — Prüfungsgespräch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Prüfungsgespräch erstreckt sich auf unterschiedliche Schwerpunkte der in § 20 Absatz 1 Satz 1 genannten Ausbildungsabschnitte der berufspraktischen Studienzeit.</w:t>
      </w:r>
    </w:p>
    <w:p>
      <w:r>
        <w:t xml:space="preserve">(2) Die Prüfungskommission wählt den Prüfungsstoff aus. Die Schwerpunkte der Prüfung unterliegen der Verschwiegenheitspflicht und sind bis zum Beginn des Prüfungsgesprächs unter Verschluss zu halten.</w:t>
      </w:r>
    </w:p>
    <w:p>
      <w:r>
        <w:rPr>
          <w:color w:val="555555"/>
          <w:sz w:val="17"/>
        </w:rPr>
        <w:t xml:space="preserve">Zitiervorschlag: § 47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