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GfwtDBwVDV — Prüfungsort und Prüfungstermin</w:t>
      </w:r>
    </w:p>
    <w:p>
      <w:r>
        <w:rPr>
          <w:color w:val="555555"/>
          <w:sz w:val="18"/>
        </w:rPr>
        <w:t xml:space="preserve">Verordnung über den Vorbereitungsdienst für den gehobenen technischen Verwaltungsdienst in der Bundeswehr im Verwendungsbereich Brandschutz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Prüfungsamt setzt Ort und Zeit der schriftlichen Prüfung, der praktischen Prüfung und der mündlichen Prüfung fest und teilt sie den Anwärterinnen und Anwärtern rechtzeitig mit.</w:t>
      </w:r>
    </w:p>
    <w:p>
      <w:r>
        <w:t xml:space="preserve">(2) Die praktische und die mündliche Prüfung sollen in zeitlichem Zusammenhang nacheinander durchgeführt werden.</w:t>
      </w:r>
    </w:p>
    <w:p>
      <w:r>
        <w:rPr>
          <w:color w:val="555555"/>
          <w:sz w:val="17"/>
        </w:rPr>
        <w:t xml:space="preserve">Zitiervorschlag: § 38 GfwtDBwVDV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https://recht.nulegal.eu/gesetze/GfwtDBwVDV/38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