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GfwtDBwVDV — Berufspraktische Studienzeit</w:t>
      </w:r>
    </w:p>
    <w:p>
      <w:r>
        <w:rPr>
          <w:color w:val="555555"/>
          <w:sz w:val="18"/>
        </w:rPr>
        <w:t xml:space="preserve">Verordnung über den Vorbereitungsdienst für den gehobenen technischen Verwaltungsdienst in der Bundeswehr im Verwendungsbereich Brandschutz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berufspraktische Studienzeit nach den §§ 16 bis 27 findet während des Studiums in der vorlesungsfreien Zeit statt.</w:t>
      </w:r>
    </w:p>
    <w:p>
      <w:r>
        <w:t xml:space="preserve">(2) Bei der Erstellung des Rahmenlehrplans werden bereits nach § 29 Absatz 2 vermittelte Lehrinhalte berücksichtigt.</w:t>
      </w:r>
    </w:p>
    <w:p>
      <w:r>
        <w:t xml:space="preserve">(3) Bei der Erstellung des Ausbildungsplans werden die Zeiträume von Praktika, Fachpraktika oder anderen praktischen Studienzeiten, die von der Studien- und Prüfungsordnung der kooperierenden Hochschuleinrichtung vorgesehen sind, berücksichtigt.</w:t>
      </w:r>
    </w:p>
    <w:p>
      <w:r>
        <w:t xml:space="preserve">(4) Die Ausbildungsleitung hat unverzüglich nach Abschluss eines Praktikums, eines Fachpraktikums oder einer anderen praktischen Studienzeit nach Absatz 3 eine Bewertung durch die zuständige Ausbilderin oder den zuständigen Ausbilder zu veranlassen. Die Bewertung muss die Angaben enthalten, die von der Studien- und Prüfungsordnung der kooperierenden Hochschuleinrichtung gefordert werden.</w:t>
      </w:r>
    </w:p>
    <w:p>
      <w:r>
        <w:t xml:space="preserve">(5) Die Bewertungen sind der kooperierenden Hochschuleinrichtung mitzuteilen und mit der Anwärterin oder dem Anwärter zu besprechen.</w:t>
      </w:r>
    </w:p>
    <w:p>
      <w:r>
        <w:rPr>
          <w:color w:val="555555"/>
          <w:sz w:val="17"/>
        </w:rPr>
        <w:t xml:space="preserve">Zitiervorschlag: § 31 GfwtDBwVDV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https://recht.nulegal.eu/gesetze/GfwtDBwVDV/31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