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GfwtDBwVDV — Inhalt und Aufbau des Bachelorstudiums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 im Verwendungsbereich Brandschutz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Inhalt und Aufbau des Bachelorstudiums richten sich nach der Studien- und Prüfungsordnung der kooperierenden Hochschuleinrichtung.</w:t>
      </w:r>
    </w:p>
    <w:p>
      <w:r>
        <w:t xml:space="preserve">(2) Das Bachelorstudium kann bereits Inhalte der in § 20 Absatz 1 Satz 1 Nummer 1 bis 6 genannten Lehrgänge vermitteln.</w:t>
      </w:r>
    </w:p>
    <w:p>
      <w:r>
        <w:rPr>
          <w:color w:val="555555"/>
          <w:sz w:val="17"/>
        </w:rPr>
        <w:t xml:space="preserve">Zitiervorschlag: § 29 GfwtDBwVDV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https://recht.nulegal.eu/gesetze/GfwtDBwVDV/29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