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GfwtDBwVDV — Bachelorstudium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Bachelorstudium wird an einer mit der Einstellungsbehörde kooperierenden Hochschuleinrichtung durchgeführt.</w:t>
      </w:r>
    </w:p>
    <w:p>
      <w:r>
        <w:t xml:space="preserve">(2) Die Studiengänge des Bachelorstudiums werden von der Einstellungsbehörde im Einvernehmen mit dem Bundesamt für Infrastruktur, Umweltschutz und Dienstleistungen der Bundeswehr festgelegt. Die Festlegung bedarf der Genehmigung des Bundesministeriums der Verteidigung.</w:t>
      </w:r>
    </w:p>
    <w:p>
      <w:r>
        <w:t xml:space="preserve">(3) Die Einstellungsbehörde teilt die Anwärterinnen und Anwärter einer kooperierenden Hochschuleinrichtung zu.</w:t>
      </w:r>
    </w:p>
    <w:p>
      <w:r>
        <w:rPr>
          <w:color w:val="555555"/>
          <w:sz w:val="17"/>
        </w:rPr>
        <w:t xml:space="preserve">Zitiervorschlag: § 28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