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GfwtDBwVDV — Praktische Ausbildung</w:t>
      </w:r>
    </w:p>
    <w:p>
      <w:r>
        <w:rPr>
          <w:color w:val="555555"/>
          <w:sz w:val="18"/>
        </w:rPr>
        <w:t xml:space="preserve">Verordnung über den Vorbereitungsdienst für den gehobenen technischen Verwaltungsdienst in der Bundeswehr im Verwendungsbereich Brandschutz</w:t>
      </w:r>
    </w:p>
    <w:p>
      <w:r>
        <w:rPr>
          <w:color w:val="555555"/>
          <w:sz w:val="18"/>
        </w:rPr>
        <w:t xml:space="preserve">Stand: 17.03.2026 (konsolidierte Textfassung, kein amtliches Inkrafttretensdatum)</w:t>
      </w:r>
    </w:p>
    <w:p>
      <w:r>
        <w:t xml:space="preserve">(1) In der praktischen Ausbildung werden die Anwärterinnen und Anwärter mit allen Grundlagen der Zusammenarbeit innerhalb der militärischen Dienststellen und der Feuerwachen sowie dem Zusammenwirken mit anderen Organisationseinheiten vertraut gemacht. Die praktische Ausbildung ist insbesondere auf die Vermittlung praxisorientierter Kenntnisse, Fertigkeiten und Fähigkeiten ausgerichtet. Darüber hinaus werden die Kenntnisse, die in den Lehrgängen „Feuerwehrtechnische Grundausbildung für den gehobenen technischen Verwaltungsdienst im Verwendungsbereich Brandschutz“, „Gruppenführung“ und „Zugführung“ erworben worden sind, durch praktische Übungen und Einsatzaufgaben in den anzuwendenden Einsatztechniken vertieft.</w:t>
      </w:r>
    </w:p>
    <w:p>
      <w:r>
        <w:t xml:space="preserve">(2) Die praktische Ausbildung wird in mehreren Abschnitten bei der Bundeswehr-Feuerwehr und in Dienststellen mit Brandschutzzuständigkeit durchgeführt. Die Einstellungsbehörde kann im Einvernehmen mit dem Bundesamt für Infrastruktur, Umweltschutz und Dienstleistungen der Bundeswehr vorsehen, dass die praktische Ausbildung teilweise auch bei Berufsfeuerwehren der Kommunen oder bei hauptberuflichen Werkfeuerwehren durchgeführt wird.</w:t>
      </w:r>
    </w:p>
    <w:p>
      <w:r>
        <w:t xml:space="preserve">(3) Aufgaben, die nicht dem Zweck der Ausbildung entsprechen, dürfen den Anwärterinnen und Anwärtern nicht übertragen werden.</w:t>
      </w:r>
    </w:p>
    <w:p>
      <w:r>
        <w:rPr>
          <w:color w:val="555555"/>
          <w:sz w:val="17"/>
        </w:rPr>
        <w:t xml:space="preserve">Zitiervorschlag: § 27 GfwtDBwVDV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https://recht.nulegal.eu/gesetze/GfwtDBwVDV/27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