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GfwtDBwVDV — Lehrgang „Organisation, Recht und Betriebswirtschaftslehre“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Lehrgang „Organisation, Recht und Betriebswirtschaftslehre“ werden den Anwärterinnen und Anwärtern die notwendigen Kenntnisse in den folgenden Bereichen vermittelt:</w:t>
      </w:r>
    </w:p>
    <w:p>
      <w:pPr>
        <w:ind w:left="420"/>
      </w:pPr>
      <w:r>
        <w:t xml:space="preserve">1. Staatsrecht, Personalrecht, Einsatzrecht und Katastrophenschutzrecht,</w:t>
      </w:r>
    </w:p>
    <w:p>
      <w:pPr>
        <w:ind w:left="420"/>
      </w:pPr>
      <w:r>
        <w:t xml:space="preserve">2. Aufbau und Organisation der Bundeswehr sowie Grundlagen und Grundzüge des Verwaltungshandelns und</w:t>
      </w:r>
    </w:p>
    <w:p>
      <w:pPr>
        <w:ind w:left="420"/>
      </w:pPr>
      <w:r>
        <w:t xml:space="preserve">3. Grundlagen der Betriebswirtschaftslehre.</w:t>
      </w:r>
    </w:p>
    <w:p>
      <w:r>
        <w:rPr>
          <w:color w:val="555555"/>
          <w:sz w:val="17"/>
        </w:rPr>
        <w:t xml:space="preserve">Zitiervorschlag: § 23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