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GfwtDBwVDV — Ausbildungsrahmenplan</w:t>
      </w:r>
    </w:p>
    <w:p>
      <w:r>
        <w:rPr>
          <w:color w:val="555555"/>
          <w:sz w:val="18"/>
        </w:rPr>
        <w:t xml:space="preserve">Verordnung über den Vorbereitungsdienst für den gehobenen technischen Verwaltungsdienst in der Bundeswehr im Verwendungsbereich Brandschutz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oder der Ausbildungsbeauftragte erstellt im Einvernehmen mit der Einstellungsbehörde und dem Bildungszentrum der Bundeswehr einen Ausbildungsrahmenplan. Der Ausbildungsrahmenplan bedarf der Genehmigung durch das Bundesministerium der Verteidigung.</w:t>
      </w:r>
    </w:p>
    <w:p>
      <w:r>
        <w:t xml:space="preserve">(2) Im Ausbildungsrahmenplan werden der allgemeine Ablauf des Vorbereitungsdienstes, die Ausbildungsstationen und der Inhalt der praktischen Ausbildung sowie die Dauer der Abschnitte der praktischen Ausbildung (§ 27) geregelt.</w:t>
      </w:r>
    </w:p>
    <w:p>
      <w:r>
        <w:rPr>
          <w:color w:val="555555"/>
          <w:sz w:val="17"/>
        </w:rPr>
        <w:t xml:space="preserve">Zitiervorschlag: § 18 GfwtDBwVDV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https://recht.nulegal.eu/gesetze/GfwtDBwVDV/18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