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GfwtDBwVDV — Rahmenlehrplan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oder der Ausbildungsbeauftragte erstellt im Einvernehmen mit der Einstellungsbehörde und dem Bildungszentrum der Bundeswehr einen Rahmenlehrplan. Der Rahmenlehrplan bedarf der Genehmigung durch das Bundesministerium der Verteidigung.</w:t>
      </w:r>
    </w:p>
    <w:p>
      <w:r>
        <w:t xml:space="preserve">(2) Im Rahmenlehrplan werden die Regeldauer der Lehrgänge (§§ 21 bis 26) und die grobe Struktur der Lehrinhalte festgelegt.</w:t>
      </w:r>
    </w:p>
    <w:p>
      <w:r>
        <w:rPr>
          <w:color w:val="555555"/>
          <w:sz w:val="17"/>
        </w:rPr>
        <w:t xml:space="preserve">Zitiervorschlag: § 17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