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GfwtDBwVDV — Bestandteile des Auswahlverfahrens und Zweck der Bestandteile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Auswahlverfahren besteht aus einem schriftlichen, einem mündlichen und einem praktischen Teil.</w:t>
      </w:r>
    </w:p>
    <w:p>
      <w:r>
        <w:t xml:space="preserve">(2) Der schriftliche und der mündliche Teil dienen der Feststellung der Eignungsmerkmale.</w:t>
      </w:r>
    </w:p>
    <w:p>
      <w:r>
        <w:t xml:space="preserve">(3) Der praktische Teil dient der Feststellung der Anforderungen an die körperliche Leistungsfähigkeit und Belastbarkeit sowie der individuellen Trainierbarkeit.</w:t>
      </w:r>
    </w:p>
    <w:p>
      <w:r>
        <w:rPr>
          <w:color w:val="555555"/>
          <w:sz w:val="17"/>
        </w:rPr>
        <w:t xml:space="preserve">Zitiervorschlag: § 12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