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GewvollzVO (Nordrhein-Westfalen)</w:t>
      </w:r>
    </w:p>
    <w:p>
      <w:r>
        <w:rPr>
          <w:color w:val="555555"/>
          <w:sz w:val="18"/>
        </w:rPr>
        <w:t xml:space="preserve">Gewahrsamsvollzugsverordnung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März 2021</w:t>
      </w:r>
    </w:p>
    <w:p>
      <w:r>
        <w:t xml:space="preserve">Auf Grund des § 37 Absatz 4 Satz 2 des Polizeigesetzes des Landes Nordrhein-West-falen in der Fassung der Bekanntmachung vom 25. Juli 2003 (GV. NRW. S. 441), der durch Artikel 1 des Gesetzes vom 19. Dezember 2019 (GV. NRW. S. 995) eingefügt worden ist, verordnet das Ministerium des Innern:</w:t>
      </w:r>
    </w:p>
    <w:p>
      <w:r>
        <w:rPr>
          <w:color w:val="555555"/>
          <w:sz w:val="17"/>
        </w:rPr>
        <w:t xml:space="preserve">Zitiervorschlag: Eingangsformel GewvollzVO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https://recht.nulegal.eu/gesetze/GewvollzVO/eingangsformel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