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GewinnungsAbfV — Errichtung, Betrieb, Stilllegung und Nachsorge</w:t>
      </w:r>
    </w:p>
    <w:p>
      <w:r>
        <w:rPr>
          <w:color w:val="555555"/>
          <w:sz w:val="18"/>
        </w:rPr>
        <w:t xml:space="preserve">Gewinnungsabfallverordnung</w:t>
      </w:r>
    </w:p>
    <w:p>
      <w:r>
        <w:rPr>
          <w:color w:val="555555"/>
          <w:sz w:val="18"/>
        </w:rPr>
        <w:t xml:space="preserve">Stand: 10.06.2019 (konsolidierte Textfassung, kein amtliches Inkrafttretensdatum)</w:t>
      </w:r>
    </w:p>
    <w:p>
      <w:r>
        <w:t xml:space="preserve">Eine Beseitigungsanlage für Gewinnungsabfälle ist so zu errichten, zu betreiben, stillzulegen und nachzusorgen, dass das Wohl der Allgemeinheit nicht beeinträchtigt wird. Dies ist durch eine geeignete Standortwahl und geeignete Maßnahmen zum Schutz des Bodens und des Grundwassers, die dem Stand der Technik entsprechen, zu gewährleisten. Hierzu können, in Abhängigkeit von Gefährdungspotenzial und Art der Anlage, die Kriterien nach Anhang 1 der Deponieverordnung vom 27. April 2009 (BGBl. I S. 900) herangezogen werden. Für die sonstigen Anforderungen, dass das Wohl der Allgemeinheit nach § 15 Absatz 2 des Kreislaufwirtschaftsgesetzes durch die Anlage nicht beeinträchtigt wird, gelten § 3 Absatz 3, § 4, § 7 Absatz 1, die §§ 8, 9, 11, 12 und 13 der Deponieverordnung entsprechend.</w:t>
      </w:r>
    </w:p>
    <w:p>
      <w:r>
        <w:rPr>
          <w:color w:val="555555"/>
          <w:sz w:val="17"/>
        </w:rPr>
        <w:t xml:space="preserve">Zitiervorschlag: § 3 GewinnungsAbfV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https://recht.nulegal.eu/gesetze/GewinnungsAbfV/3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GewinnungsAbfV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