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GewinnungsAbfV — Begriffsbestimmungen</w:t>
      </w:r>
    </w:p>
    <w:p>
      <w:r>
        <w:rPr>
          <w:color w:val="555555"/>
          <w:sz w:val="18"/>
        </w:rPr>
        <w:t xml:space="preserve">Gewinnungsabfallverordnung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Sinne dieser Verordnung sind:</w:t>
      </w:r>
    </w:p>
    <w:p>
      <w:pPr>
        <w:ind w:left="420"/>
      </w:pPr>
      <w:r>
        <w:t xml:space="preserve">1. Gewinnungsabfälle: Abfälle, die unmittelbar beim Aufsuchen, Gewinnen und Aufbereiten sowie bei der damit zusammenhängenden Lagerung von Bodenschätzen anfallen.</w:t>
      </w:r>
    </w:p>
    <w:p>
      <w:pPr>
        <w:ind w:left="420"/>
      </w:pPr>
      <w:r>
        <w:t xml:space="preserve">2. Beseitigungsanlage für Gewinnungsabfälle: Eine Anlage zur zeitweiligen Lagerung oder dauerhaften Ablagerung, in der ausschließlich Gewinnungsabfälle mit dem Ziel der Beseitigung gelagert oder abgelagert werden.</w:t>
      </w:r>
    </w:p>
    <w:p>
      <w:pPr>
        <w:ind w:left="420"/>
      </w:pPr>
      <w:r>
        <w:t xml:space="preserve">3. Anlage der Kategorie A: Beseitigungsanlage für Gewinnungsabfälle, die nach den Kriterien aus dem Anhang III der Richtlinie 2006/21/EG des Europäischen Parlaments und des Rates vom 15. März 2006 über die Bewirtschaftung von Abfällen aus der mineralgewinnenden Industrie und zur Änderung der Richtlinie 2004/35/EG (ABl. L 102 vom 11.4.2006, S. 15) als eine solche eingestuft wird.</w:t>
      </w:r>
    </w:p>
    <w:p>
      <w:r>
        <w:rPr>
          <w:color w:val="555555"/>
          <w:sz w:val="17"/>
        </w:rPr>
        <w:t xml:space="preserve">Zitiervorschlag: § 2 GewinnungsAbfV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https://recht.nulegal.eu/gesetze/GewinnungsAbfV/2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