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GewStG — Hinzurechnungen</w:t>
      </w:r>
    </w:p>
    <w:p>
      <w:r>
        <w:rPr>
          <w:color w:val="555555"/>
          <w:sz w:val="18"/>
        </w:rPr>
        <w:t xml:space="preserve">Gewerbesteuergesetz</w:t>
      </w:r>
    </w:p>
    <w:p>
      <w:r>
        <w:rPr>
          <w:color w:val="555555"/>
          <w:sz w:val="18"/>
        </w:rPr>
        <w:t xml:space="preserve">Stand: 01.07.2021 (konsolidierte Textfassung, kein amtliches Inkrafttretensdatum)</w:t>
      </w:r>
    </w:p>
    <w:p>
      <w:r>
        <w:t xml:space="preserve">Dem Gewinn aus Gewerbebetrieb (§ 7) werden folgende Beträge wieder hinzugerechnet, soweit sie bei der Ermittlung des Gewinns abgesetzt worden sind:</w:t>
      </w:r>
    </w:p>
    <w:p>
      <w:pPr>
        <w:ind w:left="420"/>
      </w:pPr>
      <w:r>
        <w:t xml:space="preserve">1. Ein Viertel der Summe aus</w:t>
      </w:r>
    </w:p>
    <w:p>
      <w:pPr>
        <w:ind w:left="780"/>
      </w:pPr>
      <w:r>
        <w:t xml:space="preserve">a) Entgelten für Schulden. 2Als Entgelt gelten auch der Aufwand aus nicht dem gewöhnlichen Geschäftsverkehr entsprechenden gewährten Skonti oder wirtschaftlich vergleichbaren Vorteilen im Zusammenhang mit der Erfüllung von Forderungen aus Lieferungen und Leistungen vor Fälligkeit sowie die Diskontbeträge bei der Veräußerung von Wechsel- und anderen Geldforderungen. 3Soweit Gegenstand der Veräußerung eine Forderung aus einem schwebenden Vertragsverhältnis ist, gilt die Differenz zwischen dem Wert der Forderung aus dem schwebenden Vertragsverhältnis, wie ihn die Vertragsparteien im Zeitpunkt des Vertragsschlusses der Veräußerung zugrunde gelegt haben, und dem vereinbarten Veräußerungserlös als bei der Ermittlung des Gewinns abgesetzt,</w:t>
      </w:r>
    </w:p>
    <w:p>
      <w:pPr>
        <w:ind w:left="780"/>
      </w:pPr>
      <w:r>
        <w:t xml:space="preserve">b) Renten und dauernden Lasten. 2Pensionszahlungen auf Grund einer unmittelbar vom Arbeitgeber erteilten Versorgungszusage gelten nicht als dauernde Last im Sinne des Satzes 1,</w:t>
      </w:r>
    </w:p>
    <w:p>
      <w:pPr>
        <w:ind w:left="780"/>
      </w:pPr>
      <w:r>
        <w:t xml:space="preserve">c) Gewinnanteilen des stillen Gesellschafters,</w:t>
      </w:r>
    </w:p>
    <w:p>
      <w:pPr>
        <w:ind w:left="780"/>
      </w:pPr>
      <w:r>
        <w:t xml:space="preserve">d) einem Fünftel der Miet- und Pachtzinsen (einschließlich Leasingraten) für die Benutzung von beweglichen Wirtschaftsgütern des Anlagevermögens, die im Eigentum eines anderen stehen. 2Eine Hinzurechnung nach Satz 1 ist nur zur Hälfte vorzunehmen bei</w:t>
      </w:r>
    </w:p>
    <w:p>
      <w:pPr>
        <w:ind w:left="1140"/>
      </w:pPr>
      <w:r>
        <w:t xml:space="preserve">aa) Fahrzeugen mit Antrieb ausschließlich durch Elektromotoren, die ganz oder überwiegend aus mechanischen oder elektrochemischen Energiespeichern oder aus emissionsfrei betriebenen Energiewandlern gespeist werden (Elektrofahrzeuge),</w:t>
      </w:r>
    </w:p>
    <w:p>
      <w:pPr>
        <w:ind w:left="1140"/>
      </w:pPr>
      <w:r>
        <w:t xml:space="preserve">bb) extern aufladbaren Hybridelektrofahrzeugen, für die sich aus der Übereinstimmungsbescheinigung nach Anhang IX der Richtlinie 2007/46/EG oder aus der Übereinstimmungsbescheinigung nach Artikel 38 der Verordnung (EU) Nr. 168/2013 ergibt, dass das Fahrzeug eine Kohlendioxidemission von höchstens 50 Gramm je gefahrenen Kilometer hat oder die Reichweite des Fahrzeugs unter ausschließlicher Nutzung der elektrischen Antriebsmaschine mindestens 80 Kilometer beträgt, und</w:t>
      </w:r>
    </w:p>
    <w:p>
      <w:pPr>
        <w:ind w:left="1140"/>
      </w:pPr>
      <w:r>
        <w:t xml:space="preserve">cc) Fahrrädern, die keine Kraftfahrzeuge sind,</w:t>
      </w:r>
    </w:p>
    <w:p>
      <w:pPr>
        <w:ind w:left="780"/>
      </w:pPr>
      <w:r>
        <w:t xml:space="preserve">e) der Hälfte der Miet- und Pachtzinsen (einschließlich Leasingraten) für die Benutzung der unbeweglichen Wirtschaftsgüter des Anlagevermögens, die im Eigentum eines anderen stehen, und</w:t>
      </w:r>
    </w:p>
    <w:p>
      <w:pPr>
        <w:ind w:left="780"/>
      </w:pPr>
      <w:r>
        <w:t xml:space="preserve">f) einem Viertel der Aufwendungen für die zeitlich befristete Überlassung von Rechten (insbesondere Konzessionen und Lizenzen, mit Ausnahme von Lizenzen, die ausschließlich dazu berechtigen, daraus abgeleitete Rechte Dritten zu überlassen). 2Eine Hinzurechnung nach Satz 1 ist nicht vorzunehmen auf Aufwendungen, die nach § 25 des Künstlersozialversicherungsgesetzes Bemessungsgrundlage für die Künstlersozialabgabe sind,</w:t>
      </w:r>
    </w:p>
    <w:p>
      <w:pPr>
        <w:ind w:left="420"/>
      </w:pPr>
      <w:r>
        <w:t xml:space="preserve">soweit die Summe den Betrag von 200 000 Euro übersteigt;</w:t>
      </w:r>
    </w:p>
    <w:p>
      <w:pPr>
        <w:ind w:left="420"/>
      </w:pPr>
      <w:r>
        <w:t xml:space="preserve">2. (weggefallen)</w:t>
      </w:r>
    </w:p>
    <w:p>
      <w:pPr>
        <w:ind w:left="420"/>
      </w:pPr>
      <w:r>
        <w:t xml:space="preserve">3. (weggefallen)</w:t>
      </w:r>
    </w:p>
    <w:p>
      <w:pPr>
        <w:ind w:left="420"/>
      </w:pPr>
      <w:r>
        <w:t xml:space="preserve">4. die Gewinnanteile, die an persönlich haftende Gesellschafter einer Kommanditgesellschaft auf Aktien auf ihre nicht auf das Grundkapital gemachten Einlagen oder als Vergütung (Tantieme) für die Geschäftsführung verteilt worden sind;</w:t>
      </w:r>
    </w:p>
    <w:p>
      <w:pPr>
        <w:ind w:left="420"/>
      </w:pPr>
      <w:r>
        <w:t xml:space="preserve">5. die nach § 3 Nr. 40 des Einkommensteuergesetzes oder § 8b Abs. 1 des Körperschaftsteuergesetzes außer Ansatz bleibenden Gewinnanteile (Dividenden) und die diesen gleichgestellten Bezüge und erhaltenen Leistungen aus Anteilen an einer Körperschaft, Personenvereinigung oder Vermögensmasse im Sinne des Körperschaftsteuergesetzes, soweit sie nicht die Voraussetzungen des § 9 Nr. 2a oder 7 erfüllen, nach Abzug der mit diesen Einnahmen, Bezügen und erhaltenen Leistungen in wirtschaftlichem Zusammenhang stehenden Betriebsausgaben, soweit sie nach § 3c Abs. 2 des Einkommensteuergesetzes und § 8b Abs. 5 und 10 des Körperschaftsteuergesetzes unberücksichtigt bleiben.</w:t>
      </w:r>
    </w:p>
    <w:p>
      <w:pPr>
        <w:ind w:left="420"/>
      </w:pPr>
      <w:r>
        <w:t xml:space="preserve">6. (weggefallen)</w:t>
      </w:r>
    </w:p>
    <w:p>
      <w:pPr>
        <w:ind w:left="420"/>
      </w:pPr>
      <w:r>
        <w:t xml:space="preserve">7. (weggefallen)</w:t>
      </w:r>
    </w:p>
    <w:p>
      <w:pPr>
        <w:ind w:left="420"/>
      </w:pPr>
      <w:r>
        <w:t xml:space="preserve">8. die Anteile am Verlust einer in- oder ausländischen offenen Handelsgesellschaft, einer Kommanditgesellschaft oder einer anderen Gesellschaft, bei der die Gesellschafter als Unternehmer (Mitunternehmer) des Gewerbebetriebs anzusehen sind. 2Satz 1 ist bei Lebens- und Krankenversicherungsunternehmen nicht anzuwenden; für Pensionsfonds gilt Entsprechendes;</w:t>
      </w:r>
    </w:p>
    <w:p>
      <w:pPr>
        <w:ind w:left="420"/>
      </w:pPr>
      <w:r>
        <w:t xml:space="preserve">9. die Ausgaben im Sinne des § 9 Abs. 1 Nr. 2 des Körperschaftsteuergesetzes;</w:t>
      </w:r>
    </w:p>
    <w:p>
      <w:pPr>
        <w:ind w:left="420"/>
      </w:pPr>
      <w:r>
        <w:t xml:space="preserve">10. Gewinnminderungen, die</w:t>
      </w:r>
    </w:p>
    <w:p>
      <w:pPr>
        <w:ind w:left="780"/>
      </w:pPr>
      <w:r>
        <w:t xml:space="preserve">a) durch Ansatz des niedrigeren Teilwerts des Anteils an einer Körperschaft oder</w:t>
      </w:r>
    </w:p>
    <w:p>
      <w:pPr>
        <w:ind w:left="780"/>
      </w:pPr>
      <w:r>
        <w:t xml:space="preserve">b) durch Veräußerung oder Entnahme des Anteils an einer Körperschaft oder bei Auflösung oder Herabsetzung des Kapitals der Körperschaft</w:t>
      </w:r>
    </w:p>
    <w:p>
      <w:pPr>
        <w:ind w:left="420"/>
      </w:pPr>
      <w:r>
        <w:t xml:space="preserve">entstanden sind, soweit der Ansatz des niedrigeren Teilwerts oder die sonstige Gewinnminderung auf Gewinnausschüttungen der Körperschaft, um die der Gewerbeertrag nach § 9 Nr. 2a, 7 oder 8 zu kürzen ist, oder organschaftliche Gewinnabführungen der Körperschaft zurückzuführen ist;</w:t>
      </w:r>
    </w:p>
    <w:p>
      <w:pPr>
        <w:ind w:left="420"/>
      </w:pPr>
      <w:r>
        <w:t xml:space="preserve">11. (weggefallen)</w:t>
      </w:r>
    </w:p>
    <w:p>
      <w:pPr>
        <w:ind w:left="420"/>
      </w:pPr>
      <w:r>
        <w:t xml:space="preserve">12. ausländische Steuern, die nach § 34c des Einkommensteuergesetzes oder nach einer Bestimmung, die § 34c des Einkommensteuergesetzes für entsprechend anwendbar erklärt, bei der Ermittlung der Einkünfte abgezogen werden, soweit sie auf Gewinne oder Gewinnanteile entfallen, die bei der Ermittlung des Gewerbeertrags außer Ansatz gelassen oder nach § 9 gekürzt werden.</w:t>
      </w:r>
    </w:p>
    <w:p>
      <w:r>
        <w:rPr>
          <w:color w:val="555555"/>
          <w:sz w:val="17"/>
        </w:rPr>
        <w:t xml:space="preserve">Zitiervorschlag: § 8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