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7b GewStG — Sonderregelung bei der Ermittlung des Gewerbeertrags bei unternehmensbezogener Sanierung</w:t>
      </w:r>
    </w:p>
    <w:p>
      <w:r>
        <w:rPr>
          <w:color w:val="555555"/>
          <w:sz w:val="18"/>
        </w:rPr>
        <w:t xml:space="preserve">Gewerbesteuergesetz</w:t>
      </w:r>
    </w:p>
    <w:p>
      <w:r>
        <w:rPr>
          <w:color w:val="555555"/>
          <w:sz w:val="18"/>
        </w:rPr>
        <w:t xml:space="preserve">Stand: 23.12.2022 (konsolidierte Textfassung, kein amtliches Inkrafttretensdatum)</w:t>
      </w:r>
    </w:p>
    <w:p>
      <w:r>
        <w:t xml:space="preserve">(1) Die §§ 3a und 3c Absatz 4 des Einkommensteuergesetzes sind vorbehaltlich der nachfolgenden Absätze bei der Ermittlung des Gewerbeertrags entsprechend anzuwenden.</w:t>
      </w:r>
    </w:p>
    <w:p>
      <w:r>
        <w:t xml:space="preserve">(2) 1Der nach Anwendung des § 3a Absatz 3 Satz 2 Nummer 1 des Einkommensteuergesetzes verbleibende geminderte Sanierungsertrag im Sinne des § 3a Absatz 3 Satz 1 des Einkommensteuergesetzes mindert nacheinander</w:t>
      </w:r>
    </w:p>
    <w:p>
      <w:pPr>
        <w:ind w:left="420"/>
      </w:pPr>
      <w:r>
        <w:t xml:space="preserve">1. den negativen Gewerbeertrag des Sanierungsjahrs des zu sanierenden Unternehmens,</w:t>
      </w:r>
    </w:p>
    <w:p>
      <w:pPr>
        <w:ind w:left="420"/>
      </w:pPr>
      <w:r>
        <w:t xml:space="preserve">2. Fehlbeträge im Sinne des § 10a Satz 3 und</w:t>
      </w:r>
    </w:p>
    <w:p>
      <w:pPr>
        <w:ind w:left="420"/>
      </w:pPr>
      <w:r>
        <w:t xml:space="preserve">3. im Sanierungsjahr ungeachtet des § 10a Satz 2 die nach § 10a Satz 6 zum Ende des vorangegangenen Erhebungszeitraums gesondert festgestellten Fehlbeträge; die in § 10a Satz 1 und 2 genannten Beträge werden der Minderung entsprechend aufgebraucht.</w:t>
      </w:r>
    </w:p>
    <w:p>
      <w:r>
        <w:t xml:space="preserve">2Ein nach Satz 1 verbleibender Sanierungsertrag mindert die Beträge nach Satz 1 Nummer 1 bis 3 eines anderen Unternehmens, wenn dieses die erlassenen Schulden innerhalb eines Zeitraums von fünf Jahren vor dem Schuldenerlass auf das zu sanierende Unternehmen übertragen hat und soweit die entsprechenden Beträge zum Ablauf des Wirtschaftsjahrs der Übertragung bereits entstanden waren. 3Der verbleibende Sanierungsertrag nach Satz 2 ist zunächst um den Minderungsbetrag nach § 3a Absatz 3 Satz 2 Nummer 13 des Einkommensteuergesetzes zu kürzen. 4Bei der Minderung nach Satz 1 ist § 10a Satz 4 und 5 entsprechend anzuwenden; dies gilt für Zwecke der Minderung nach Satz 1 Nummer 3 mit der Maßgabe, dass der sich für die Mitunternehmerschaft insgesamt ergebende Sanierungsertrag im Verhältnis der den Mitunternehmern zum Ende des vorangegangenen Erhebungszeitraums zugerechneten Fehlbeträge den Mitunternehmern zuzurechnen ist. 5In Fällen des § 10a Satz 9 ist § 8 Absatz 9 Satz 9 des Körperschaftsteuergesetzes entsprechend anzuwenden. 6An den Feststellungen der vortragsfähigen Fehlbeträge nehmen nur die nach Anwendung der Sätze 1 und 2 verbleibenden Beträge teil.</w:t>
      </w:r>
    </w:p>
    <w:p>
      <w:r>
        <w:t xml:space="preserve">(3) In den Fällen des § 2 Absatz 2 Satz 2 ist § 15 Satz 1 Nummer 1a des Körperschaftsteuergesetzes entsprechend anzuwenden. 2Absatz 2 Satz 3 gilt entsprechend.</w:t>
      </w:r>
    </w:p>
    <w:p>
      <w:r>
        <w:rPr>
          <w:color w:val="555555"/>
          <w:sz w:val="17"/>
        </w:rPr>
        <w:t xml:space="preserve">Zitiervorschlag: § 7b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