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GewStG — Besteuerungsgrundlage</w:t>
      </w:r>
    </w:p>
    <w:p>
      <w:r>
        <w:rPr>
          <w:color w:val="555555"/>
          <w:sz w:val="18"/>
        </w:rPr>
        <w:t xml:space="preserve">Gewerbesteuergesetz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Besteuerungsgrundlage für die Gewerbesteuer ist der Gewerbeertrag.</w:t>
      </w:r>
    </w:p>
    <w:p>
      <w:r>
        <w:rPr>
          <w:color w:val="555555"/>
          <w:sz w:val="17"/>
        </w:rPr>
        <w:t xml:space="preserve">Zitiervorschlag: § 6 GewStG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