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GewStG — Begriff der Arbeitslöhne für die Zerlegung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(1) 1Arbeitslöhne sind vorbehaltlich der Absätze 2 bis 5 die Vergütungen im Sinne des § 19 Abs. 1 Nr. 1 des Einkommensteuergesetzes, soweit sie nicht durch andere Rechtsvorschriften von der Einkommensteuer befreit sind. 2Zuschläge für Mehrarbeit und für Sonntags-, Feiertags- und Nachtarbeit gehören unbeschadet der einkommensteuerlichen Behandlung zu den Arbeitslöhnen.</w:t>
      </w:r>
    </w:p>
    <w:p>
      <w:r>
        <w:t xml:space="preserve">(2) Zu den Arbeitslöhnen gehören nicht Vergütungen, die an Personen gezahlt worden sind, die zu ihrer Berufsausbildung beschäftigt werden.</w:t>
      </w:r>
    </w:p>
    <w:p>
      <w:r>
        <w:t xml:space="preserve">(3) In Fällen einer Befreiung von der Gewerbesteuer bleiben die Vergütungen an solche Arbeitnehmer außer Ansatz, die nicht ausschließlich oder überwiegend in dem steuerpflichtigen Betrieb oder Teil des Betriebs tätig sind.</w:t>
      </w:r>
    </w:p>
    <w:p>
      <w:r>
        <w:t xml:space="preserve">(4) 1Nach dem Gewinn berechnete einmalige Vergütungen (z. B. Tantiemen, Gratifikationen) sind nicht anzusetzen. 2Das Gleiche gilt für sonstige Vergütungen, soweit sie bei dem einzelnen Arbeitnehmer 50.000 Euro übersteigen.</w:t>
      </w:r>
    </w:p>
    <w:p>
      <w:r>
        <w:t xml:space="preserve">(5) Bei Unternehmen, die nicht von einer juristischen Person betrieben werden, sind für die im Betrieb tätigen Unternehmer (Mitunternehmer) insgesamt 25.000 Euro jährlich anzusetzen.</w:t>
      </w:r>
    </w:p>
    <w:p>
      <w:r>
        <w:rPr>
          <w:color w:val="555555"/>
          <w:sz w:val="17"/>
        </w:rPr>
        <w:t xml:space="preserve">Zitiervorschlag: § 31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