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GewStG — Entstehung der Vorauszahlungen</w:t>
      </w:r>
    </w:p>
    <w:p>
      <w:r>
        <w:rPr>
          <w:color w:val="555555"/>
          <w:sz w:val="18"/>
        </w:rPr>
        <w:t xml:space="preserve">Gewerbesteuergesetz</w:t>
      </w:r>
    </w:p>
    <w:p>
      <w:r>
        <w:rPr>
          <w:color w:val="555555"/>
          <w:sz w:val="18"/>
        </w:rPr>
        <w:t xml:space="preserve">Stand: 10.06.2019 (konsolidierte Textfassung, kein amtliches Inkrafttretensdatum)</w:t>
      </w:r>
    </w:p>
    <w:p>
      <w:r>
        <w:t xml:space="preserve">Die Vorauszahlungen auf die Gewerbesteuer entstehen mit Beginn des Kalendervierteljahrs, in dem die Vorauszahlungen zu entrichten sind, oder, wenn die Steuerpflicht erst im Laufe des Kalendervierteljahrs begründet wird, mit Begründung der Steuerpflicht.</w:t>
      </w:r>
    </w:p>
    <w:p>
      <w:r>
        <w:rPr>
          <w:color w:val="555555"/>
          <w:sz w:val="17"/>
        </w:rPr>
        <w:t xml:space="preserve">Zitiervorschlag: § 21 GewStG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