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GewStG — Abrechnung über die Vorauszahlungen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einen Erhebungszeitraum (§ 14) entrichteten Vorauszahlungen werden auf die Steuerschuld für diesen Erhebungszeitraum angerechnet.</w:t>
      </w:r>
    </w:p>
    <w:p>
      <w:r>
        <w:t xml:space="preserve">(2) Ist die Steuerschuld größer als die Summe der anzurechnenden Vorauszahlungen, so ist der Unterschiedsbetrag, soweit er den im Erhebungszeitraum und nach § 19 Abs. 3 Satz 2 nach Ablauf des Erhebungszeitraums fällig gewordenen, aber nicht entrichteten Vorauszahlungen entspricht, sofort, im Übrigen innerhalb eines Monats nach Bekanntgabe des Steuerbescheids zu entrichten (Abschlusszahlung).</w:t>
      </w:r>
    </w:p>
    <w:p>
      <w:r>
        <w:t xml:space="preserve">(3) Ist die Steuerschuld kleiner als die Summe der anzurechnenden Vorauszahlungen, so wird der Unterschiedsbetrag nach Bekanntgabe des Steuerbescheids durch Aufrechnung oder Zurückzahlung ausgeglichen.</w:t>
      </w:r>
    </w:p>
    <w:p>
      <w:r>
        <w:rPr>
          <w:color w:val="555555"/>
          <w:sz w:val="17"/>
        </w:rPr>
        <w:t xml:space="preserve">Zitiervorschlag: § 20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