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GewStG — Entstehung der Steuer</w:t>
      </w:r>
    </w:p>
    <w:p>
      <w:r>
        <w:rPr>
          <w:color w:val="555555"/>
          <w:sz w:val="18"/>
        </w:rPr>
        <w:t xml:space="preserve">Gewerbesteuergesetz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Gewerbesteuer entsteht, soweit es sich nicht um Vorauszahlungen (§ 21) handelt, mit Ablauf des Erhebungszeitraums, für den die Festsetzung vorgenommen wird.</w:t>
      </w:r>
    </w:p>
    <w:p>
      <w:r>
        <w:rPr>
          <w:color w:val="555555"/>
          <w:sz w:val="17"/>
        </w:rPr>
        <w:t xml:space="preserve">Zitiervorschlag: § 18 GewStG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https://recht.nulegal.eu/gesetze/GewStG/18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