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GewStG — Gewerbeverlust</w:t>
      </w:r>
    </w:p>
    <w:p>
      <w:r>
        <w:rPr>
          <w:color w:val="555555"/>
          <w:sz w:val="18"/>
        </w:rPr>
        <w:t xml:space="preserve">Gewerbesteuergesetz</w:t>
      </w:r>
    </w:p>
    <w:p>
      <w:r>
        <w:rPr>
          <w:color w:val="555555"/>
          <w:sz w:val="18"/>
        </w:rPr>
        <w:t xml:space="preserve">Stand: 06.01.2021 (konsolidierte Textfassung, kein amtliches Inkrafttretensdatum)</w:t>
      </w:r>
    </w:p>
    <w:p>
      <w:r>
        <w:t xml:space="preserve">1Der maßgebende Gewerbeertrag wird bis zu einem Betrag in Höhe von 1 Million Euro um die Fehlbeträge gekürzt, die sich bei der Ermittlung des maßgebenden Gewerbeertrags für die vorangegangenen Erhebungszeiträume nach den Vorschriften der §§ 7 bis 10 ergeben haben, soweit die Fehlbeträge nicht bei der Ermittlung des Gewerbeertrags für die vorangegangenen Erhebungszeiträume berücksichtigt worden sind. 2Der 1 Million Euro übersteigende maßgebende Gewerbeertrag ist bis zu 60 Prozent um nach Satz 1 nicht berücksichtigte Fehlbeträge der vorangegangenen Erhebungszeiträume zu kürzen. 3Im Fall des § 2 Abs. 2 Satz 2 kann die Organgesellschaft den maßgebenden Gewerbeertrag nicht um Fehlbeträge kürzen, die sich vor dem rechtswirksamen Abschluss des Gewinnabführungsvertrags ergeben haben. 4Bei einer Mitunternehmerschaft ist der sich für die Mitunternehmerschaft insgesamt ergebende Fehlbetrag den Mitunternehmern entsprechend dem sich aus dem Gesellschaftsvertrag ergebenden allgemeinen Gewinnverteilungsschlüssel zuzurechnen; Vorabgewinnanteile sind nicht zu berücksichtigen. 5Für den Abzug der den Mitunternehmern zugerechneten Fehlbeträge nach Maßgabe der Sätze 1 und 2 ist der sich für die Mitunternehmerschaft insgesamt ergebende maßgebende Gewerbeertrag sowie der Höchstbetrag nach Satz 1 den Mitunternehmern entsprechend dem sich aus dem Gesellschaftsvertrag für das Abzugsjahr ergebenden allgemeinen Gewinnverteilungsschlüssel zuzurechnen; Vorabgewinnanteile sind nicht zu berücksichtigen. 6Die Höhe der vortragsfähigen Fehlbeträge ist gesondert festzustellen. 7Vortragsfähige Fehlbeträge sind die nach der Kürzung des maßgebenden Gewerbeertrags nach Satz 1 und 2 zum Schluss des Erhebungszeitraums verbleibenden Fehlbeträge. 8Im Fall des § 2 Abs. 5 kann der andere Unternehmer den maßgebenden Gewerbeertrag nicht um die Fehlbeträge kürzen, die sich bei der Ermittlung des maßgebenden Gewerbeertrags des übergegangenen Unternehmens ergeben haben. 9§ 8 Abs. 8 und 9 Satz 5 bis 8 des Körperschaftsteuergesetzes ist entsprechend anzuwenden. 10Auf die Fehlbeträge ist § 8c des Körperschaftsteuergesetzes entsprechend anzuwenden; dies gilt auch für den Fehlbetrag einer Mitunternehmerschaft, soweit dieser</w:t>
      </w:r>
    </w:p>
    <w:p>
      <w:pPr>
        <w:ind w:left="420"/>
      </w:pPr>
      <w:r>
        <w:t xml:space="preserve">1. einer Körperschaft unmittelbar oder</w:t>
      </w:r>
    </w:p>
    <w:p>
      <w:pPr>
        <w:ind w:left="420"/>
      </w:pPr>
      <w:r>
        <w:t xml:space="preserve">2. einer Mitunternehmerschaft, soweit an dieser eine Körperschaft unmittelbar oder mittelbar über eine oder mehrere Personengesellschaften beteiligt ist,</w:t>
      </w:r>
    </w:p>
    <w:p>
      <w:r>
        <w:t xml:space="preserve">zuzurechnen ist. 11Auf die Fehlbeträge ist § 8d des Körperschaftsteuergesetzes entsprechend anzuwenden, wenn ein fortführungsgebundener Verlustvortrag nach § 8d des Körperschaftsteuergesetzes gesondert festgestellt worden ist. 12Unterbleibt eine Feststellung nach § 8d Absatz 1 Satz 8 des Körperschaftsteuergesetzes, weil keine nicht genutzten Verluste nach § 8c Absatz 1 Satz 1 des Körperschaftsteuergesetzes vorliegen, ist auf Antrag auf die Fehlbeträge § 8d des Körperschaftsteuergesetzes entsprechend anzuwenden; für die Form und die Frist dieses Antrags gilt § 8d Absatz 1 Satz 5 des Körperschaftsteuergesetzes entsprechend.</w:t>
      </w:r>
    </w:p>
    <w:p>
      <w:r>
        <w:rPr>
          <w:color w:val="555555"/>
          <w:sz w:val="17"/>
        </w:rPr>
        <w:t xml:space="preserve">Zitiervorschlag: § 10a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