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GewStG — Steuerberechtigte</w:t>
      </w:r>
    </w:p>
    <w:p>
      <w:r>
        <w:rPr>
          <w:color w:val="555555"/>
          <w:sz w:val="18"/>
        </w:rPr>
        <w:t xml:space="preserve">Gewerbesteuergesetz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Gemeinden erheben eine Gewerbesteuer als Gemeindesteuer.</w:t>
      </w:r>
    </w:p>
    <w:p>
      <w:r>
        <w:rPr>
          <w:color w:val="555555"/>
          <w:sz w:val="17"/>
        </w:rPr>
        <w:t xml:space="preserve">Zitiervorschlag: § 1 GewStG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https://recht.nulegal.eu/gesetze/GewStG/1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