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GewStDV 1955 — Betriebsstätten auf Schiffen</w:t>
      </w:r>
    </w:p>
    <w:p>
      <w:r>
        <w:rPr>
          <w:color w:val="555555"/>
          <w:sz w:val="18"/>
        </w:rPr>
        <w:t xml:space="preserve">Gewerbesteuer-Durchführungsverordnung</w:t>
      </w:r>
    </w:p>
    <w:p>
      <w:r>
        <w:rPr>
          <w:color w:val="555555"/>
          <w:sz w:val="18"/>
        </w:rPr>
        <w:t xml:space="preserve">Stand: 10.06.2019 (konsolidierte Textfassung, kein amtliches Inkrafttretensdatum)</w:t>
      </w:r>
    </w:p>
    <w:p>
      <w:r>
        <w:t xml:space="preserve">Ein Gewerbebetrieb wird gewerbesteuerlich insoweit nicht im Inland betrieben, als für ihn eine Betriebsstätte auf einem Kauffahrteischiff unterhalten wird, das im sogenannten regelmäßigen Liniendienst ausschließlich zwischen ausländischen Häfen verkehrt, auch wenn es in einem inländischen Schiffsregister eingetragen ist.</w:t>
      </w:r>
    </w:p>
    <w:p>
      <w:r>
        <w:rPr>
          <w:color w:val="555555"/>
          <w:sz w:val="17"/>
        </w:rPr>
        <w:t xml:space="preserve">Zitiervorschlag: § 5 GewStDV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https://recht.nulegal.eu/gesetze/GewStDV%201955/5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GewStDV 1955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