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GewStDV 1955 — Aufgabe, Auflösung und Insolvenz</w:t>
      </w:r>
    </w:p>
    <w:p>
      <w:r>
        <w:rPr>
          <w:color w:val="555555"/>
          <w:sz w:val="18"/>
        </w:rPr>
        <w:t xml:space="preserve">Gewerbesteuer-Durchführungsverordnung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 Gewerbebetrieb, der aufgegeben oder aufgelöst wird, bleibt Steuergegenstand bis zur Beendigung der Aufgabe oder Abwicklung.</w:t>
      </w:r>
    </w:p>
    <w:p>
      <w:r>
        <w:t xml:space="preserve">(2) Die Gewerbesteuerpflicht wird durch die Eröffnung des Insolvenzverfahrens über das Vermögen des Unternehmers nicht berührt.</w:t>
      </w:r>
    </w:p>
    <w:p>
      <w:r>
        <w:rPr>
          <w:color w:val="555555"/>
          <w:sz w:val="17"/>
        </w:rPr>
        <w:t xml:space="preserve">Zitiervorschlag: § 4 GewStDV 1955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https://recht.nulegal.eu/gesetze/GewStDV%201955/4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