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GewStDV 1955 — Verlegung von Betriebsstätten</w:t>
      </w:r>
    </w:p>
    <w:p>
      <w:r>
        <w:rPr>
          <w:color w:val="555555"/>
          <w:sz w:val="18"/>
        </w:rPr>
        <w:t xml:space="preserve">Gewerbesteuer-Durchführungsverordnung</w:t>
      </w:r>
    </w:p>
    <w:p>
      <w:r>
        <w:rPr>
          <w:color w:val="555555"/>
          <w:sz w:val="18"/>
        </w:rPr>
        <w:t xml:space="preserve">Stand: 10.06.2019 (konsolidierte Textfassung, kein amtliches Inkrafttretensdatum)</w:t>
      </w:r>
    </w:p>
    <w:p>
      <w:r>
        <w:t xml:space="preserve">1Wird eine Betriebsstätte in eine andere Gemeinde verlegt, so sind die Vorauszahlungen in dieser Gemeinde von dem auf die Verlegung folgenden Fälligkeitstag ab zu entrichten. 2Das gilt nicht, wenn in der Gemeinde, aus der die Betriebsstätte verlegt wird, mindestens eine Betriebsstätte des Unternehmens bestehen bleibt.</w:t>
      </w:r>
    </w:p>
    <w:p>
      <w:r>
        <w:rPr>
          <w:color w:val="555555"/>
          <w:sz w:val="17"/>
        </w:rPr>
        <w:t xml:space="preserve">Zitiervorschlag: § 30 GewStDV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https://recht.nulegal.eu/gesetze/GewStDV%201955/30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