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GewStDV 1955 — Anpassung und erstmalige Festsetzung der Vorauszahlungen</w:t>
      </w:r>
    </w:p>
    <w:p>
      <w:r>
        <w:rPr>
          <w:color w:val="555555"/>
          <w:sz w:val="18"/>
        </w:rPr>
        <w:t xml:space="preserve">Gewerbesteuer-Durchführungsverordnung</w:t>
      </w:r>
    </w:p>
    <w:p>
      <w:r>
        <w:rPr>
          <w:color w:val="555555"/>
          <w:sz w:val="18"/>
        </w:rPr>
        <w:t xml:space="preserve">Stand: 10.06.2019 (konsolidierte Textfassung, kein amtliches Inkrafttretensdatum)</w:t>
      </w:r>
    </w:p>
    <w:p>
      <w:r>
        <w:t xml:space="preserve">(1) 1Setzt das Finanzamt nach § 19 Abs. 3 Satz 3 des Gesetzes einen Steuermessbetrag für Zwecke der Gewerbesteuer-Vorauszahlungen fest, so braucht ein Zerlegungsbescheid nicht erteilt zu werden. 2Die hebeberechtigten Gemeinden können an dem Steuermessbetrag in demselben Verhältnis beteiligt werden, nach dem die Zerlegungsanteile in dem unmittelbar vorangegangenen Zerlegungsbescheid festgesetzt sind. 3Das Finanzamt hat in diesem Fall gleichzeitig mit der Festsetzung des Steuermessbetrags den hebeberechtigten Gemeinden mitzuteilen</w:t>
      </w:r>
    </w:p>
    <w:p>
      <w:pPr>
        <w:ind w:left="420"/>
      </w:pPr>
      <w:r>
        <w:t xml:space="preserve">1. den Prozentsatz, um den sich der Steuermessbetrag gegenüber dem in der Mitteilung über die Zerlegung (§ 188 Abs. 1 der Abgabenordnung) angegebenen Steuermessbetrag erhöht oder ermäßigt, oder den Zerlegungsanteil,</w:t>
      </w:r>
    </w:p>
    <w:p>
      <w:pPr>
        <w:ind w:left="420"/>
      </w:pPr>
      <w:r>
        <w:t xml:space="preserve">2. den Erhebungszeitraum, für den die Änderung erstmals gilt.</w:t>
      </w:r>
    </w:p>
    <w:p>
      <w:r>
        <w:t xml:space="preserve">(2) 1In den Fällen des § 19 Abs. 4 des Gesetzes hat das Finanzamt erforderlichenfalls den Steuermessbetrag für Zwecke der Gewerbesteuer-Vorauszahlungen zu zerlegen. 2Das Gleiche gilt in den Fällen des § 19 Abs. 3 des Gesetzes, wenn an den Vorauszahlungen nicht dieselben Gemeinden beteiligt sind, die nach dem unmittelbar vorangegangenen Zerlegungsbescheid beteiligt waren. 3Bei der Zerlegung sind die mutmaßlichen Arbeitslöhne des Erhebungszeitraums anzusetzen, für den die Festsetzung der Vorauszahlungen erstmals gilt.</w:t>
      </w:r>
    </w:p>
    <w:p>
      <w:r>
        <w:rPr>
          <w:color w:val="555555"/>
          <w:sz w:val="17"/>
        </w:rPr>
        <w:t xml:space="preserve">Zitiervorschlag: § 29 GewStDV 1955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https://recht.nulegal.eu/gesetze/GewStDV%201955/29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GewStDV 1955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