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GewStDV 1955 — Grundbesitz</w:t>
      </w:r>
    </w:p>
    <w:p>
      <w:r>
        <w:rPr>
          <w:color w:val="555555"/>
          <w:sz w:val="18"/>
        </w:rPr>
        <w:t xml:space="preserve">Gewerbesteuer-Durchführungsverordnung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1Die Frage, ob und inwieweit im Sinne des § 9 Nr. 1 des Gesetzes Grundbesitz zum Betriebsvermögen des Unternehmers gehört, ist nach den Vorschriften des Einkommensteuergesetzes oder des Körperschaftsteuergesetzes zu entscheiden. 2Maßgebend ist dabei der Stand zu Beginn des Kalenderjahrs.</w:t>
      </w:r>
    </w:p>
    <w:p>
      <w:r>
        <w:rPr>
          <w:color w:val="555555"/>
          <w:sz w:val="17"/>
        </w:rPr>
        <w:t xml:space="preserve">Zitiervorschlag: § 20 GewStDV 1955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https://recht.nulegal.eu/gesetze/GewStDV%201955/20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