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GewStDV 1955 — Betriebe der öffentlichen Hand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1Unternehmen von juristischen Personen des öffentlichen Rechts sind gewerbesteuerpflichtig, wenn sie als stehende Gewerbebetriebe anzusehen sind; für den Umfang des Unternehmens ist § 4 Abs. 6 Satz 1 des Körperschaftsteuergesetzes entsprechend anzuwenden. 2Das gilt auch für Unternehmen, die der Versorgung der Bevölkerung mit Wasser, Gas, Elektrizität oder Wärme, dem öffentlichen Verkehr oder dem Hafenbetrieb dienen.</w:t>
      </w:r>
    </w:p>
    <w:p>
      <w:r>
        <w:t xml:space="preserve">(2) 1Unternehmen von juristischen Personen des öffentlichen Rechts, die überwiegend der Ausübung der öffentlichen Gewalt dienen (Hoheitsbetriebe), gehören unbeschadet der Vorschrift des Absatzes 1 Satz 2 nicht zu den Gewerbebetrieben. 2Für die Annahme eines Hoheitsbetriebs reichen Zwangs- oder Monopolrechte nicht aus.</w:t>
      </w:r>
    </w:p>
    <w:p>
      <w:r>
        <w:rPr>
          <w:color w:val="555555"/>
          <w:sz w:val="17"/>
        </w:rPr>
        <w:t xml:space="preserve">Zitiervorschlag: § 2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