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GewStDV 1955 — Schulden bestimmter Unternehmen</w:t>
      </w:r>
    </w:p>
    <w:p>
      <w:r>
        <w:rPr>
          <w:color w:val="555555"/>
          <w:sz w:val="18"/>
        </w:rPr>
        <w:t xml:space="preserve">Gewerbesteuer-Durchführungsverordnung</w:t>
      </w:r>
    </w:p>
    <w:p>
      <w:r>
        <w:rPr>
          <w:color w:val="555555"/>
          <w:sz w:val="18"/>
        </w:rPr>
        <w:t xml:space="preserve">Stand: 26.06.2021 (konsolidierte Textfassung, kein amtliches Inkrafttretensdatum)</w:t>
      </w:r>
    </w:p>
    <w:p>
      <w:r>
        <w:t xml:space="preserve">(1) 1Bei Kreditinstituten im Sinne des § 1 Absatz 1 in Verbindung mit § 2 Absatz 1 des Kreditwesengesetzes sind nur Entgelte für Schulden und den Entgelten gleichgestellte Beträge anzusetzen, die dem Betrag der Schulden entsprechen, um den der Ansatz der zum Anlagevermögen gehörenden Grundstücke, Gebäude, Betriebs- und Geschäftsausstattung, Schiffe, Anteile an Kreditinstituten und sonstigen Unternehmen sowie der Forderungen aus Vermögenseinlagen als stiller Gesellschafter und aus Genussrechten das Eigenkapital überschreitet; hierunter fallen nicht Gegenstände, über die Leasingverträge abgeschlossen worden sind. 2Dem Anlagevermögen nach Satz 1 sind Forderungen gegen ein Unternehmen hinzuzurechnen, mit dem eine organschaftliche Verbindung nach § 2 Abs. 2 Satz 2 des Gesetzes besteht und das nicht zu den Kreditinstituten oder Unternehmen gehört, auf die Satz 1 und die Absätze 2 bis 4 anzuwenden sind.</w:t>
      </w:r>
    </w:p>
    <w:p>
      <w:r>
        <w:t xml:space="preserve">(2) 1Voraussetzung für die Anwendung des Absatzes 1 ist, dass im Durchschnitt aller Monatsausweise des Wirtschaftsjahrs des Kreditinstituts nach § 25 des Kreditwesengesetzes oder entsprechender Statistiken die Aktivposten aus Bankgeschäften und dem Erwerb von Geldforderungen die Aktivposten aus anderen Geschäften überwiegen. 2In den Vergleich sind Aktivposten aus Anlagen nach Absatz 1 nicht einzubeziehen.</w:t>
      </w:r>
    </w:p>
    <w:p>
      <w:r>
        <w:t xml:space="preserve">(3) Die vorstehenden Bestimmungen gelten entsprechend</w:t>
      </w:r>
    </w:p>
    <w:p>
      <w:pPr>
        <w:ind w:left="420"/>
      </w:pPr>
      <w:r>
        <w:t xml:space="preserve">1. für Pfandleiher im Sinne der Pfandleiherverordnung in der Fassung der Bekanntmachung vom 1. Juni 1976 (BGBl. I S. 1334) in der jeweils geltenden Fassung;</w:t>
      </w:r>
    </w:p>
    <w:p>
      <w:pPr>
        <w:ind w:left="420"/>
      </w:pPr>
      <w:r>
        <w:t xml:space="preserve">2. für Gewerbebetriebe, die nachweislich ausschließlich unmittelbar oder mittelbar Kredite oder Kreditrisiken aus Bankgeschäften im Sinne des § 1 Abs. 1 Satz 2 Nr. 2, 3 und 8 des Kreditwesengesetzes in der Fassung des Artikels 27 des Gesetzes vom 19. Dezember 2008 (BGBl. I S. 2794) von Kreditinstituten im Sinne des § 1 des Kreditwesengesetzes oder von in § 3 Nr. 2 des Gesetzes genannten Gewerbebetrieben erwerben und Schuldtitel zur Refinanzierung des Kaufpreises für den Erwerb solcher Kredite oder zur Refinanzierung von für die Risikoübernahmen zu stellenden Sicherheiten ausgeben; die Refinanzierung durch Aufnahme von Darlehen von Gewerbebetrieben im Sinne der Nummer 3 an der Stelle der Ausgabe von Schuldtiteln ist unschädlich, und</w:t>
      </w:r>
    </w:p>
    <w:p>
      <w:pPr>
        <w:ind w:left="420"/>
      </w:pPr>
      <w:r>
        <w:t xml:space="preserve">3. für Gewerbebetriebe, die nachweislich ausschließlich Schuldtitel bezogen auf die in Nummer 2 bezeichneten Kredite oder Kreditrisiken ausgeben und an Gewerbebetriebe im Sinne der Nummer 2 Darlehen gewähren.</w:t>
      </w:r>
    </w:p>
    <w:p>
      <w:r>
        <w:t xml:space="preserve">(4) 1Bei Finanzdienstleistungsinstituten im Sinne des § 1 Absatz 1a des Kreditwesengesetzes, die mit Ausnahme der Unternehmen im Sinne des § 2 Absatz 6 Nummer 17 des Kreditwesengesetzes nicht der Ausnahmeregelung des § 2 Absatz 6 des Kreditwesengesetzes unterliegen, bei Wertpapierinstituten im Sinne des § 2 Absatz 1 des Wertpapierinstitutsgesetzes sowie bei Zahlungsinstituten im Sinne des § 1 Absatz 1 Satz 1 Nummer 1 des Zahlungsdiensteaufsichtsgesetzes unterbleibt eine Hinzurechnung von Entgelten für Schulden und ihnen gleichgestellten Beträgen nach § 8 Nummer 1 Buchstabe a des Gesetzes, soweit die Entgelte und ihnen gleichgestellten Beträge unmittelbar auf Finanzdienstleistungen im Sinne des § 1 Absatz 1a Satz 2 des Kreditwesengesetzes, Wertpapierdienstleistungen im Sinne des § 2 Absatz 2 des Wertpapierinstitutsgesetzes oder Zahlungsdienste im Sinne des § 1 Absatz 1 Satz 2 Nummer 3 Buchstabe b und Nummer 6 des Zahlungsdiensteaufsichtsgesetzes entfallen. 2Satz 1 ist nur anzuwenden, wenn die Umsätze des Finanzdienstleistungsinstituts zu mindestens 50 Prozent auf Finanzdienstleistungen, des Wertpapierinstituts zu mindestens 50 Prozent auf Wertpapierdienstleistungen, Wertpapiernebendienstleistungen und Nebengeschäfte im Sinne des § 2 Absatz 2 bis 4 des Wertpapierinstitutsgesetzes und die Umsätze des Zahlungsinstituts zu mindestens 50 Prozent auf Zahlungsdienste entfallen.</w:t>
      </w:r>
    </w:p>
    <w:p>
      <w:r>
        <w:rPr>
          <w:color w:val="555555"/>
          <w:sz w:val="17"/>
        </w:rPr>
        <w:t xml:space="preserve">Zitiervorschlag: § 19 GewStDV 1955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https://recht.nulegal.eu/gesetze/GewStDV%201955/19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