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GewStDV 1955 — Hebeberechtigte Gemeinde bei Gewerbebetrieben auf Schiffen und bei Binnen- und Küstenschifffahrtsbetrieben</w:t>
      </w:r>
    </w:p>
    <w:p>
      <w:r>
        <w:rPr>
          <w:color w:val="555555"/>
          <w:sz w:val="18"/>
        </w:rPr>
        <w:t xml:space="preserve">Gewerbesteuer-Durchführungsverordnung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Hebeberechtigte Gemeinde für die Betriebsstätten auf Kauffahrteischiffen, die in einem inländischen Schiffsregister eingetragen sind und nicht im sogenannten regelmäßigen Liniendienst ausschließlich zwischen ausländischen Häfen verkehren, und für die in § 6 bezeichneten Binnen- und Küstenschifffahrtsbetriebe ist die Gemeinde, in der der inländische Heimathafen (Heimatort) des Schiffes liegt.</w:t>
      </w:r>
    </w:p>
    <w:p>
      <w:r>
        <w:rPr>
          <w:color w:val="555555"/>
          <w:sz w:val="17"/>
        </w:rPr>
        <w:t xml:space="preserve">Zitiervorschlag: § 15 GewStDV 1955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https://recht.nulegal.eu/gesetze/GewStDV%201955/15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