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GewSchG — Strafvorschriften</w:t>
      </w:r>
    </w:p>
    <w:p>
      <w:r>
        <w:rPr>
          <w:color w:val="555555"/>
          <w:sz w:val="18"/>
        </w:rPr>
        <w:t xml:space="preserve">Gewaltschutzgesetz</w:t>
      </w:r>
    </w:p>
    <w:p>
      <w:r>
        <w:rPr>
          <w:color w:val="555555"/>
          <w:sz w:val="18"/>
        </w:rPr>
        <w:t xml:space="preserve">Stand: 05.10.2021 (konsolidierte Textfassung, kein amtliches Inkrafttretensdatum)</w:t>
      </w:r>
    </w:p>
    <w:p>
      <w:r>
        <w:t xml:space="preserve">Mit Freiheitsstrafe bis zu zwei Jahren oder mit Geldstrafe wird bestraft, wer einer bestimmten vollstreckbaren</w:t>
      </w:r>
    </w:p>
    <w:p>
      <w:pPr>
        <w:ind w:left="420"/>
      </w:pPr>
      <w:r>
        <w:t xml:space="preserve">1. Anordnung nach § 1 Absatz 1 Satz 1 oder 3, jeweils auch in Verbindung mit Absatz 2 Satz 1, zuwiderhandelt oder</w:t>
      </w:r>
    </w:p>
    <w:p>
      <w:pPr>
        <w:ind w:left="420"/>
      </w:pPr>
      <w:r>
        <w:t xml:space="preserve">2. Verpflichtung aus einem Vergleich zuwiderhandelt, soweit der Vergleich nach § 214a Satz 1 des Gesetzes über das Verfahren in Familiensachen und in den Angelegenheiten der freiwilligen Gerichtsbarkeit in Verbindung mit § 1 Absatz 1 Satz 1 oder 3 dieses Gesetzes, jeweils auch in Verbindung mit § 1 Absatz 2 Satz 1 dieses Gesetzes, bestätigt worden ist.</w:t>
      </w:r>
    </w:p>
    <w:p>
      <w:r>
        <w:t xml:space="preserve">Die Strafbarkeit nach anderen Vorschriften bleibt unberührt.</w:t>
      </w:r>
    </w:p>
    <w:p>
      <w:r>
        <w:rPr>
          <w:color w:val="555555"/>
          <w:sz w:val="17"/>
        </w:rPr>
        <w:t xml:space="preserve">Zitiervorschlag: § 4 GewSchG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https://recht.nulegal.eu/gesetze/GewSchG/4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