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GewSchG — Geltungsbereich, Konkurrenzen</w:t>
      </w:r>
    </w:p>
    <w:p>
      <w:r>
        <w:rPr>
          <w:color w:val="555555"/>
          <w:sz w:val="18"/>
        </w:rPr>
        <w:t xml:space="preserve">Gewaltschutzgesetz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Steht die verletzte oder bedrohte Person im Zeitpunkt einer Tat nach § 1 Abs. 1 oder Abs. 2 Satz 1 unter elterlicher Sorge, Vormundschaft oder unter Pflegschaft für Minderjährige, so treten im Verhältnis zu den Eltern und zu sorgeberechtigten Personen an die Stelle von §§ 1 und 2 die für das Sorgerechts-, Vormundschafts- oder Pflegschaftsverhältnis maßgebenden Vorschriften.</w:t>
      </w:r>
    </w:p>
    <w:p>
      <w:r>
        <w:t xml:space="preserve">(2) Weitergehende Ansprüche der verletzten Person werden durch dieses Gesetz nicht berührt.</w:t>
      </w:r>
    </w:p>
    <w:p>
      <w:r>
        <w:rPr>
          <w:color w:val="555555"/>
          <w:sz w:val="17"/>
        </w:rPr>
        <w:t xml:space="preserve">Zitiervorschlag: § 3 GewSchG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https://recht.nulegal.eu/gesetze/GewSchG/3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