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GewRZV (Brandenburg) — Inkrafttreten, Außerkrafttreten</w:t>
      </w:r>
    </w:p>
    <w:p>
      <w:r>
        <w:rPr>
          <w:color w:val="555555"/>
          <w:sz w:val="18"/>
        </w:rPr>
        <w:t xml:space="preserve">Gewerberechtszuständigkeitsverordnung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Gewerberechtszuständigkeitsverordnung vom 17. August 2009 (GVBl. II S. 527), die zuletzt durch Verordnung vom 23. Juli 2018 (GVBl. II Nr. 47) geändert worden ist, außer Kraft.</w:t>
      </w:r>
    </w:p>
    <w:p>
      <w:r>
        <w:t xml:space="preserve">Einzelnorm</w:t>
      </w:r>
    </w:p>
    <w:p>
      <w:r>
        <w:t xml:space="preserve">Potsdam, den 22. Juli 2020</w:t>
      </w:r>
    </w:p>
    <w:p>
      <w:r>
        <w:t xml:space="preserve">Der Minister für Wirtschaft,</w:t>
      </w:r>
    </w:p>
    <w:p>
      <w:r>
        <w:t xml:space="preserve">Arbeit und Energie</w:t>
      </w:r>
    </w:p>
    <w:p>
      <w:r>
        <w:t xml:space="preserve">Prof. Dr.-Ing. Jörg Steinbach</w:t>
      </w:r>
    </w:p>
    <w:p>
      <w:r>
        <w:rPr>
          <w:color w:val="555555"/>
          <w:sz w:val="17"/>
        </w:rPr>
        <w:t xml:space="preserve">Zitiervorschlag: § 3 GewRZV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https://recht.nulegal.eu/gesetze/GewRZV/3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