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GewO — Entscheidungsfrist, Genehmigungsfiktion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Hat die Behörde über einen Antrag auf Erlaubnis zur Ausübung eines Gewerbes nicht innerhalb einer Frist von drei Monaten entschieden, gilt die Erlaubnis als erteilt. Satz 1 gilt nicht für Verfahren nach § 31 Absatz 1 und § 34a Absatz 1.</w:t>
      </w:r>
    </w:p>
    <w:p>
      <w:r>
        <w:t xml:space="preserve">(2) Absatz 1 gilt auch für Verfahren nach § 33a Absatz 1 und § 69 Absatz 1 und für Verfahren nach dem Gaststättengesetz, solange keine landesrechtlichen Regelungen bestehen.</w:t>
      </w:r>
    </w:p>
    <w:p>
      <w:r>
        <w:rPr>
          <w:color w:val="555555"/>
          <w:sz w:val="17"/>
        </w:rPr>
        <w:t xml:space="preserve">Zitiervorschlag: § 6a GewO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