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55f GewO — Haftpflichtversicherung</w:t>
      </w:r>
    </w:p>
    <w:p>
      <w:r>
        <w:rPr>
          <w:color w:val="555555"/>
          <w:sz w:val="18"/>
        </w:rPr>
        <w:t xml:space="preserve">Gewerbeordnung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Das Bundesministerium für Wirtschaft und Klimaschutz wird ermächtigt, durch Rechtsverordnung mit Zustimmung des Bundesrates zum Schutze der Allgemeinheit und der Veranstaltungsteilnehmer für Tätigkeiten nach § 55 Abs. 1 Nr. 2, die mit besonderen Gefahren verbunden sind, Vorschriften über die Verpflichtung des Gewerbetreibenden zum Abschluß und zum Nachweis des Bestehens einer Haftpflichtversicherung zu erlassen.</w:t>
      </w:r>
    </w:p>
    <w:p>
      <w:r>
        <w:rPr>
          <w:color w:val="555555"/>
          <w:sz w:val="17"/>
        </w:rPr>
        <w:t xml:space="preserve">Zitiervorschlag: § 55f GewO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https://recht.nulegal.eu/gesetze/GewO/55f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