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GewO — Fortführung des Gewerbes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Tode eines Gewerbetreibenden darf das Gewerbe für Rechnung des überlebenden Ehegatten oder Lebenspartners durch einen nach § 45 befähigten Stellvertreter betrieben werden, wenn die für den Betrieb einzelner Gewerbe bestehenden besonderen Vorschriften nicht etwas anderes bestimmen.</w:t>
      </w:r>
    </w:p>
    <w:p>
      <w:r>
        <w:t xml:space="preserve">(2) Das gleiche gilt für minderjährige Erben während der Minderjährigkeit sowie bis zur Dauer von zehn Jahren nach dem Erbfall für den Nachlaßverwalter, Nachlaßpfleger oder Testamentsvollstrecker.</w:t>
      </w:r>
    </w:p>
    <w:p>
      <w:r>
        <w:t xml:space="preserve">(3) Die zuständige Behörde kann in den Fällen der Absätze 1 und 2 gestatten, daß das Gewerbe bis zur Dauer eines Jahres nach dem Tode des Gewerbetreibenden auch ohne den nach § 45 befähigten Stellvertreter betrieben wird.</w:t>
      </w:r>
    </w:p>
    <w:p>
      <w:r>
        <w:rPr>
          <w:color w:val="555555"/>
          <w:sz w:val="17"/>
        </w:rPr>
        <w:t xml:space="preserve">Zitiervorschlag: § 46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