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GewO — Überwachungsbedürftige Gewerbe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Bei den Gewerbezweigen</w:t>
      </w:r>
    </w:p>
    <w:p>
      <w:pPr>
        <w:ind w:left="420"/>
      </w:pPr>
      <w:r>
        <w:t xml:space="preserve">1. An- und Verkauf von</w:t>
      </w:r>
    </w:p>
    <w:p>
      <w:pPr>
        <w:ind w:left="780"/>
      </w:pPr>
      <w:r>
        <w:t xml:space="preserve">a) hochwertigen Konsumgütern, insbesondere Unterhaltungselektronik, Computern, optischen Erzeugnissen, Fotoapparaten, Videokameras, Teppichen, Pelz- und Lederbekleidung,</w:t>
      </w:r>
    </w:p>
    <w:p>
      <w:pPr>
        <w:ind w:left="780"/>
      </w:pPr>
      <w:r>
        <w:t xml:space="preserve">b) Kraftfahrzeugen und Fahrrädern,</w:t>
      </w:r>
    </w:p>
    <w:p>
      <w:pPr>
        <w:ind w:left="780"/>
      </w:pPr>
      <w:r>
        <w:t xml:space="preserve">c) Edelmetallen und edelmetallhaltigen Legierungen sowie Waren aus Edelmetall oder edelmetallhaltigen Legierungen,</w:t>
      </w:r>
    </w:p>
    <w:p>
      <w:pPr>
        <w:ind w:left="780"/>
      </w:pPr>
      <w:r>
        <w:t xml:space="preserve">d) Edelsteinen, Perlen und Schmuck,</w:t>
      </w:r>
    </w:p>
    <w:p>
      <w:pPr>
        <w:ind w:left="780"/>
      </w:pPr>
      <w:r>
        <w:t xml:space="preserve">e) Altmetallen, soweit sie nicht unter Buchstabe c fallen,</w:t>
      </w:r>
    </w:p>
    <w:p>
      <w:r>
        <w:t xml:space="preserve">durch auf den Handel mit Gebrauchtwaren spezialisierte Betriebe,</w:t>
      </w:r>
    </w:p>
    <w:p>
      <w:pPr>
        <w:ind w:left="420"/>
      </w:pPr>
      <w:r>
        <w:t xml:space="preserve">2. Auskunftserteilung über Vermögensverhältnisse und persönliche Angelegenheiten (Auskunfteien, Detekteien),</w:t>
      </w:r>
    </w:p>
    <w:p>
      <w:pPr>
        <w:ind w:left="420"/>
      </w:pPr>
      <w:r>
        <w:t xml:space="preserve">3. Vermittlung von Eheschließungen, Partnerschaften und Bekanntschaften,</w:t>
      </w:r>
    </w:p>
    <w:p>
      <w:pPr>
        <w:ind w:left="420"/>
      </w:pPr>
      <w:r>
        <w:t xml:space="preserve">4. Betrieb von Reisebüros und Vermittlung von Unterkünften,</w:t>
      </w:r>
    </w:p>
    <w:p>
      <w:pPr>
        <w:ind w:left="420"/>
      </w:pPr>
      <w:r>
        <w:t xml:space="preserve">5. Vertrieb und Einbau von Gebäudesicherungseinrichtungen einschließlich der Schlüsseldienste,</w:t>
      </w:r>
    </w:p>
    <w:p>
      <w:pPr>
        <w:ind w:left="420"/>
      </w:pPr>
      <w:r>
        <w:t xml:space="preserve">6. Herstellen und Vertreiben spezieller diebstahlsbezogener Öffnungswerkzeuge</w:t>
      </w:r>
    </w:p>
    <w:p>
      <w:r>
        <w:t xml:space="preserve">hat die zuständige Behörde unverzüglich nach Erstattung der Gewerbeanmeldung oder der Gewerbeummeldung nach § 14 die Zuverlässigkeit des Gewerbetreibenden zu überprüfen. Zu diesem Zweck hat der Gewerbetreibende unverzüglich ein Führungszeugnis nach § 30 Abs. 5 Bundeszentralregistergesetz und eine Auskunft aus dem Gewerbezentralregister nach § 150 Abs. 5 zur Vorlage bei der Behörde zu beantragen. Kommt er dieser Verpflichtung nicht nach, hat die Behörde diese Auskünfte von Amts wegen einzuholen.</w:t>
      </w:r>
    </w:p>
    <w:p>
      <w:r>
        <w:t xml:space="preserve">(2) Bei begründeter Besorgnis der Gefahr der Verletzung wichtiger Gemeinschaftsgüter kann ein Führungszeugnis oder eine Auskunft aus dem Gewerbezentralregister auch bei anderen als den in Absatz 1 genannten gewerblichen Tätigkeiten angefordert oder eingeholt werden.</w:t>
      </w:r>
    </w:p>
    <w:p>
      <w:r>
        <w:t xml:space="preserve">(3) (weggefallen)</w:t>
      </w:r>
    </w:p>
    <w:p>
      <w:r>
        <w:t xml:space="preserve">(4) Absatz 1 Satz 1 Nr. 2 gilt nicht für Kreditinstitute und Finanzdienstleistungsinstitute, für die eine Erlaubnis nach § 32 Abs. 1 des Kreditwesengesetzes erteilt wurde, für Wertpapierinstitute, für die eine Erlaubnis nach § 15 Absatz 1 des Wertpapierinstitutsgesetzes erteilt wurde, sowie für Zweigniederlassungen von Unternehmen mit Sitz in einem anderen Mitgliedstaat der Europäischen Union, die nach § 53b Abs. 1 Satz 1 oder Abs. 7 des Kreditwesengesetzes im Inland tätig sind, wenn die Erbringung von Handelsauskünften durch die Zulassung der zuständigen Behörden des Herkunftsmitgliedstaats abgedeckt ist.</w:t>
      </w:r>
    </w:p>
    <w:p>
      <w:r>
        <w:rPr>
          <w:color w:val="555555"/>
          <w:sz w:val="17"/>
        </w:rPr>
        <w:t xml:space="preserve">Zitiervorschlag: § 38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