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34j GewO — Verordnungsermächtigung</w:t>
      </w:r>
    </w:p>
    <w:p>
      <w:r>
        <w:rPr>
          <w:color w:val="555555"/>
          <w:sz w:val="18"/>
        </w:rPr>
        <w:t xml:space="preserve">Gewerbeordnung</w:t>
      </w:r>
    </w:p>
    <w:p>
      <w:r>
        <w:rPr>
          <w:color w:val="555555"/>
          <w:sz w:val="18"/>
        </w:rPr>
        <w:t xml:space="preserve">Stand: 01.01.2023 (konsolidierte Textfassung, kein amtliches Inkrafttretensdatum)</w:t>
      </w:r>
    </w:p>
    <w:p>
      <w:r>
        <w:t xml:space="preserve">(1) Das Bundesministerium für Wirtschaft und Klimaschutz kann durch Rechtsverordnung mit Zustimmung des Bundesrates zur Umsetzung der Richtlinie 2014/17/EU, zur Umsetzung der Richtlinie 2005/36/EG des Europäischen Parlaments und des Rates vom 7. September 2005 über die Anerkennung von Berufsqualifikationen (ABl. L 255 vom 30.9.2005, S. 22), die zuletzt durch die Richtlinie 2013/55/EU (ABl. L 354 vom 28.12.2013, S. 132) geändert worden ist, oder zum Schutz der Allgemeinheit und der Darlehensnehmer Vorschriften erlassen über</w:t>
      </w:r>
    </w:p>
    <w:p>
      <w:pPr>
        <w:ind w:left="420"/>
      </w:pPr>
      <w:r>
        <w:t xml:space="preserve">1. den Umfang der Verpflichtungen des Immobiliardarlehensvermittlers bei der Ausübung des Gewerbes, insbesondere über</w:t>
      </w:r>
    </w:p>
    <w:p>
      <w:pPr>
        <w:ind w:left="780"/>
      </w:pPr>
      <w:r>
        <w:t xml:space="preserve">a) die Pflicht, die erhaltenen Vermögenswerte des Darlehensnehmers getrennt zu verwalten,</w:t>
      </w:r>
    </w:p>
    <w:p>
      <w:pPr>
        <w:ind w:left="780"/>
      </w:pPr>
      <w:r>
        <w:t xml:space="preserve">b) die Pflicht, nach der Ausführung des Auftrags dem Darlehensnehmer Rechnung zu legen,</w:t>
      </w:r>
    </w:p>
    <w:p>
      <w:pPr>
        <w:ind w:left="780"/>
      </w:pPr>
      <w:r>
        <w:t xml:space="preserve">c) die Pflicht, der zuständigen Behörde Anzeige beim Wechsel der mit der Leitung des Betriebes oder einer Zweigniederlassung beauftragten Personen zu erstatten und hierbei bestimmte Angaben zu machen,</w:t>
      </w:r>
    </w:p>
    <w:p>
      <w:pPr>
        <w:ind w:left="780"/>
      </w:pPr>
      <w:r>
        <w:t xml:space="preserve">d) die Verhaltens- und Informationspflichten gegenüber dem Darlehensnehmer, einschließlich der Pflicht, Provisionen und andere Zuwendungen offenzulegen,</w:t>
      </w:r>
    </w:p>
    <w:p>
      <w:pPr>
        <w:ind w:left="780"/>
      </w:pPr>
      <w:r>
        <w:t xml:space="preserve">e) die Pflicht, Bücher zu führen und die notwendigen Daten über einzelne Geschäftsvorgänge sowie über die Darlehensnehmer aufzuzeichnen,</w:t>
      </w:r>
    </w:p>
    <w:p>
      <w:pPr>
        <w:ind w:left="780"/>
      </w:pPr>
      <w:r>
        <w:t xml:space="preserve">f) die Pflicht, Beschwerden zu behandeln,</w:t>
      </w:r>
    </w:p>
    <w:p>
      <w:pPr>
        <w:ind w:left="420"/>
      </w:pPr>
      <w:r>
        <w:t xml:space="preserve">2. die Inhalte und das Verfahren für eine Sachkundeprüfung nach § 34i Absatz 2 Nummer 4, über die Ausnahmen von der Erforderlichkeit der Sachkundeprüfung, über die Gleichstellung anderer Berufsqualifikationen mit dem Nachweis der Sachkunde, über die örtliche Zuständigkeit der Industrie- und Handelskammern sowie über die Berufung eines Aufgabenauswahlausschusses,</w:t>
      </w:r>
    </w:p>
    <w:p>
      <w:pPr>
        <w:ind w:left="420"/>
      </w:pPr>
      <w:r>
        <w:t xml:space="preserve">3. den Umfang und die inhaltlichen Anforderungen an die nach § 34i Absatz 2 Nummer 3 erforderliche Haftpflichtversicherung und die gleichwertige Garantie, insbesondere über die Höhe der Mindestversicherungssumme, die nach dem in Artikel 29 Absatz 2 Buchstabe a der Richtlinie 2014/17/EU vorgesehenen Verfahren festgelegt wird; über die Bestimmung der zuständigen Stelle nach § 117 Absatz 2 des Versicherungsvertragsgesetzes; über den Nachweis des Bestehens einer Haftpflichtversicherung und einer gleichwertigen Garantie sowie über die Anzeigepflichten des Versicherungsunternehmens gegenüber den Behörden und den Versicherungsnehmern,</w:t>
      </w:r>
    </w:p>
    <w:p>
      <w:pPr>
        <w:ind w:left="420"/>
      </w:pPr>
      <w:r>
        <w:t xml:space="preserve">4. die Anforderungen und Verfahren, die zur Durchführung der Richtlinie 2005/36/EG Anwendung finden sollen auf Inhaber von Berufsqualifikationen, die in einem anderen Mitgliedstaat der Europäischen Union oder in einem Vertragsstaat des Abkommens über den Europäischen Wirtschaftsraum erworben worden sind und deren Inhaber im Inland vorübergehend oder dauerhaft als Immobiliardarlehensvermittler tätig werden wollen und nicht die Voraussetzungen des § 34i Absatz 4 erfüllen,</w:t>
      </w:r>
    </w:p>
    <w:p>
      <w:pPr>
        <w:ind w:left="420"/>
      </w:pPr>
      <w:r>
        <w:t xml:space="preserve">5. die Anforderungen und Verfahren für die grenzüberschreitende Verwaltungszusammenarbeit mit den zuständigen Behörden eines anderen Mitgliedstaates der Europäischen Union, mit den zuständigen Behörden eines Vertragsstaates des Abkommens über den Europäischen Wirtschaftsraum sowie der Europäischen Bankenaufsichtsbehörde im Sinne von Artikel 32 Absatz 3, Artikel 34 Absatz 2 bis 5, Artikel 36 und 37 der Richtlinie 2014/17/EU, insbesondere über</w:t>
      </w:r>
    </w:p>
    <w:p>
      <w:pPr>
        <w:ind w:left="780"/>
      </w:pPr>
      <w:r>
        <w:t xml:space="preserve">a) Einzelheiten des in § 11a Absatz 4 festgelegten Verfahrens,</w:t>
      </w:r>
    </w:p>
    <w:p>
      <w:pPr>
        <w:ind w:left="780"/>
      </w:pPr>
      <w:r>
        <w:t xml:space="preserve">b) Einzelheiten der Zusammenarbeit und des Informationsaustauschs mit den zuständigen Behörden eines anderen Mitgliedstaates der Europäischen Union, mit den zuständigen Behörden eines Vertragsstaates des Abkommens über den Europäischen Wirtschaftsraum sowie mit der Europäischen Bankenaufsichtsbehörde, einschließlich Einzelheiten der Befugnis der zuständigen Behörden des Herkunftsmitgliedstaates eines Gewerbetreibenden nach § 34i Absatz 4, in den Geschäftsräumen der Zweigniederlassung in Begleitung der für die Ausführung dieses Gesetzes zuständigen Behörden Prüfungen des Betriebs vorzunehmen, soweit es zum Zwecke der Überwachung erforderlich ist.</w:t>
      </w:r>
    </w:p>
    <w:p>
      <w:r>
        <w:t xml:space="preserve">(2) Gewerbetreibende nach § 34i Absatz 1 und 5 können in der Verordnung verpflichtet werden, die Einhaltung der nach Absatz 1 Nummer 1 erlassenen Vorschriften auf eigene Kosten aus besonderem Anlass prüfen zu lassen und den Prüfungsbericht der zuständigen Behörde vorzulegen, soweit dies zur wirksamen Überwachung erforderlich ist. Hierbei können die Einzelheiten der Prüfung, insbesondere deren Anlass, Zeitpunkt und Häufigkeit, die Auswahl, Bestellung und Abberufung der Prüfer, deren Rechte, Pflichten und Verantwortlichkeit, der Inhalt des Prüfungsberichts, die Verpflichtungen der Gewerbetreibenden gegenüber dem Prüfer sowie das Verfahren bei Meinungsverschiedenheiten zwischen dem Prüfer und dem Gewerbetreibenden geregelt werden.</w:t>
      </w:r>
    </w:p>
    <w:p>
      <w:r>
        <w:rPr>
          <w:color w:val="555555"/>
          <w:sz w:val="17"/>
        </w:rPr>
        <w:t xml:space="preserve">Zitiervorschlag: § 34j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https://recht.nulegal.eu/gesetze/GewO/34j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