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34f GewO — Finanzanlagenvermittler</w:t>
      </w:r>
    </w:p>
    <w:p>
      <w:r>
        <w:rPr>
          <w:color w:val="555555"/>
          <w:sz w:val="18"/>
        </w:rPr>
        <w:t xml:space="preserve">Gewerbeordnung</w:t>
      </w:r>
    </w:p>
    <w:p>
      <w:r>
        <w:rPr>
          <w:color w:val="555555"/>
          <w:sz w:val="18"/>
        </w:rPr>
        <w:t xml:space="preserve">Stand: 03.01.2024 (konsolidierte Textfassung, kein amtliches Inkrafttretensdatum)</w:t>
      </w:r>
    </w:p>
    <w:p>
      <w:r>
        <w:t xml:space="preserve">(1) Wer im Umfang der Bereichsausnahmen des § 2 Absatz 6 Satz 1 Nummer 8 des Kreditwesengesetzes oder des § 3 Absatz 1 Satz 1 Nummer 11 des Wertpapierinstitutsgesetzes gewerbsmäßig zu</w:t>
      </w:r>
    </w:p>
    <w:p>
      <w:pPr>
        <w:ind w:left="420"/>
      </w:pPr>
      <w:r>
        <w:t xml:space="preserve">1. Anteilen oder Aktien an inländischen offenen Investmentvermögen, offenen EU-Investmentvermögen oder ausländischen offenen Investmentvermögen, die nach dem Kapitalanlagegesetzbuch vertrieben werden dürfen,</w:t>
      </w:r>
    </w:p>
    <w:p>
      <w:pPr>
        <w:ind w:left="420"/>
      </w:pPr>
      <w:r>
        <w:t xml:space="preserve">2. Anteilen oder Aktien an inländischen geschlossenen Investmentvermögen, geschlossenen EU-Investmentvermögen oder ausländischen geschlossenen Investmentvermögen, die nach dem Kapitalanlagegesetzbuch vertrieben werden dürfen,</w:t>
      </w:r>
    </w:p>
    <w:p>
      <w:pPr>
        <w:ind w:left="420"/>
      </w:pPr>
      <w:r>
        <w:t xml:space="preserve">3. Vermögensanlagen im Sinne des § 1 Absatz 2 des Vermögensanlagengesetzes</w:t>
      </w:r>
    </w:p>
    <w:p>
      <w:r>
        <w:t xml:space="preserve">Anlagevermittlung im Sinne des § 1 Absatz 1a Nummer 1 des Kreditwesengesetzes oder des § 2 Absatz 2 Nummer 3 des Wertpapierinstitutsgesetzes oder Anlageberatung im Sinne des § 1 Absatz 1a Nummer 1a des Kreditwesengesetzes oder des § 2 Absatz 2 Nummer 4 des Wertpapierinstitutsgesetzes erbringen will (Finanzanlagenvermittler), bedarf der Erlaubnis der zuständigen Behörde. Die Erlaubnis kann inhaltlich beschränkt oder mit Auflagen verbunden werden, soweit dies zum Schutz der Allgemeinheit oder der Anleger erforderlich ist; unter denselben Voraussetzungen sind auch die nachträgliche Aufnahme, Änderung und Ergänzung von Auflagen zulässig. Die Erlaubnis nach Satz 1 kann auf die Anlageberatung zu und die Vermittlung von Verträgen über den Erwerb von einzelnen Kategorien von Finanzanlagen nach Nummer 1, 2 oder 3 beschränkt werden.</w:t>
      </w:r>
    </w:p>
    <w:p>
      <w:r>
        <w:t xml:space="preserve">(2) Die Erlaubnis ist zu versagen, wenn</w:t>
      </w:r>
    </w:p>
    <w:p>
      <w:pPr>
        <w:ind w:left="420"/>
      </w:pPr>
      <w:r>
        <w:t xml:space="preserve">1. Tatsachen die Annahme rechtfertigen, dass der Antragsteller oder eine der mit der Leitung des Betriebs oder einer Zweigniederlassung beauftragten Personen die für den Gewerbebetrieb erforderliche Zuverlässigkeit nicht besitzt; die erforderliche Zuverlässigkeit besitzt in der Regel nicht, wer in den letzten fünf Jahren vor Stellung des Antrags wegen eines Verbrechens oder wegen Diebstahls, Unterschlagung, Erpressung, Betrugs, Untreue, Geldwäsche, Urkundenfälschung, Hehlerei, Wuchers oder einer Insolvenzstraftat rechtskräftig verurteilt worden ist,</w:t>
      </w:r>
    </w:p>
    <w:p>
      <w:pPr>
        <w:ind w:left="420"/>
      </w:pPr>
      <w:r>
        <w:t xml:space="preserve">2. der Antragsteller in ungeordneten Vermögensverhältnissen lebt; dies ist in der Regel der Fall, wenn über das Vermögen des Antragstellers das Insolvenzverfahren eröffnet worden oder er in das vom Insolvenzgericht oder vom Vollstreckungsgericht zu führende Verzeichnis (§ 26 Absatz 2 der Insolvenzordnung, § 882b der Zivilprozessordnung) eingetragen ist,</w:t>
      </w:r>
    </w:p>
    <w:p>
      <w:pPr>
        <w:ind w:left="420"/>
      </w:pPr>
      <w:r>
        <w:t xml:space="preserve">3. der Antragsteller den Nachweis einer Berufshaftpflichtversicherung nicht erbringen kann oder</w:t>
      </w:r>
    </w:p>
    <w:p>
      <w:pPr>
        <w:ind w:left="420"/>
      </w:pPr>
      <w:r>
        <w:t xml:space="preserve">4. der Antragsteller nicht durch eine vor der Industrie- und Handelskammer erfolgreich abgelegte Prüfung nachweist, dass er die für die Vermittlung von und Beratung über Finanzanlagen im Sinne des Absatzes 1 Satz 1 notwendige Sachkunde über die fachlichen und rechtlichen Grundlagen sowie über die Kundenberatung besitzt; die Sachkunde ist dabei im Umfang der beantragten Erlaubnis nachzuweisen.</w:t>
      </w:r>
    </w:p>
    <w:p>
      <w:r>
        <w:t xml:space="preserve">(3) Keiner Erlaubnis nach Absatz 1 bedürfen</w:t>
      </w:r>
    </w:p>
    <w:p>
      <w:pPr>
        <w:ind w:left="420"/>
      </w:pPr>
      <w:r>
        <w:t xml:space="preserve">1. Kreditinstitute, für die eine Erlaubnis nach § 32 Absatz 1 des Kreditwesengesetzes erteilt wurde, und Zweigstellen von Unternehmen im Sinne des § 53b Absatz 1 Satz 1 des Kreditwesengesetzes,</w:t>
      </w:r>
    </w:p>
    <w:p>
      <w:pPr>
        <w:ind w:left="420"/>
      </w:pPr>
      <w:r>
        <w:t xml:space="preserve">2. Kapitalverwaltungsgesellschaften, für die eine Erlaubnis nach § 7 Absatz 1 des Investmentgesetzes in der bis zum 21. Juli 2013 geltenden Fassung erteilt wurde, die für den in § 345 Absatz 2 Satz 1, Absatz 3 Satz 2 in Verbindung mit Absatz 2 Satz 1, oder Absatz 4 Satz 1 des Kapitalanlagegesetzbuchs vorgesehenen Zeitraum noch fortbesteht oder Kapitalverwaltungsgesellschaften, für die eine Erlaubnis nach den §§ 20, 21 oder §§ 20, 22 des Kapitalanlagegesetzbuchs erteilt wurde, ausländische AIF-Verwaltungsgesellschaften, für die eine Erlaubnis nach § 58 des Kapitalanlagegesetzbuchs erteilt wurde und Zweigniederlassungen von Unternehmen im Sinne von § 51 Absatz 1 Satz 1, § 54 Absatz 1 oder § 66 Absatz 1 des Kapitalanlagegesetzbuchs,</w:t>
      </w:r>
    </w:p>
    <w:p>
      <w:pPr>
        <w:ind w:left="420"/>
      </w:pPr>
      <w:r>
        <w:t xml:space="preserve">3. Finanzdienstleistungsinstitute in Bezug auf Vermittlungstätigkeiten oder Anlageberatung, für die ihnen eine Erlaubnis nach § 32 Absatz 1 des Kreditwesengesetzes erteilt wurde oder für die eine Erlaubnis nach § 64e Absatz 2, § 64i Absatz 1 oder § 64n des Kreditwesengesetzes als erteilt gilt,</w:t>
      </w:r>
    </w:p>
    <w:p>
      <w:pPr>
        <w:ind w:left="420"/>
      </w:pPr>
      <w:r>
        <w:t xml:space="preserve">4. Gewerbetreibende in Bezug auf Vermittlungs- und Beratungstätigkeiten nach Maßgabe des § 2 Absatz 10 Satz 1 des Kreditwesengesetzes oder des § 3 Absatz 2 des Wertpapierinstitutsgesetzes,</w:t>
      </w:r>
    </w:p>
    <w:p>
      <w:pPr>
        <w:ind w:left="420"/>
      </w:pPr>
      <w:r>
        <w:t xml:space="preserve">5. Wertpapierinstitute in Bezug auf Vermittlungstätigkeiten oder Anlageberatung, soweit ihnen eine Erlaubnis nach § 15 Absatz 1 des Wertpapierinstitutsgesetzes erteilt wurde oder eine Erlaubnis nach § 86 Absatz 1 des Wertpapierinstitutsgesetzes als erteilt gilt.</w:t>
      </w:r>
    </w:p>
    <w:p>
      <w:r>
        <w:t xml:space="preserve">(4) Gewerbetreibende nach Absatz 1 dürfen direkt bei der Beratung und Vermittlung mitwirkende Personen nur beschäftigen, wenn sie sicherstellen, dass diese Personen über einen Sachkundenachweis nach Absatz 2 Nummer 4 verfügen und geprüft haben, ob sie zuverlässig sind. Die Beschäftigung einer direkt bei der Beratung und Vermittlung mitwirkenden Person kann dem Gewerbetreibenden untersagt werden, wenn Tatsachen die Annahme rechtfertigen, dass die Person die für ihre Tätigkeit erforderliche Sachkunde oder Zuverlässigkeit nicht besitzt.</w:t>
      </w:r>
    </w:p>
    <w:p>
      <w:r>
        <w:t xml:space="preserve">(5) Gewerbetreibende nach Absatz 1 sind verpflichtet, sich unverzüglich nach Aufnahme ihrer Tätigkeit über die für die Erlaubniserteilung zuständige Behörde entsprechend dem Umfang der Erlaubnis in das Register nach § 11a Absatz 1 eintragen zu lassen; ebenso sind Änderungen der im Register gespeicherten Angaben der Registerbehörde unverzüglich mitzuteilen.</w:t>
      </w:r>
    </w:p>
    <w:p>
      <w:r>
        <w:t xml:space="preserve">(6) Gewerbetreibende nach Absatz 1 haben die unmittelbar bei der Beratung und Vermittlung mitwirkenden Personen im Sinne des Absatzes 4 unverzüglich nach Aufnahme ihrer Tätigkeit bei der Registerbehörde zu melden und eintragen zu lassen. Änderungen der im Register gespeicherten Angaben sind der Registerbehörde unverzüglich mitzuteilen.</w:t>
      </w:r>
    </w:p>
    <w:p>
      <w:r>
        <w:rPr>
          <w:color w:val="555555"/>
          <w:sz w:val="17"/>
        </w:rPr>
        <w:t xml:space="preserve">Zitiervorschlag: § 34f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