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32 GewO — Regelung der Sachkundeprüfung, Aufgabenauswahlausschüsse</w:t>
      </w:r>
    </w:p>
    <w:p>
      <w:r>
        <w:rPr>
          <w:color w:val="555555"/>
          <w:sz w:val="18"/>
        </w:rPr>
        <w:t xml:space="preserve">Gewerbeordnung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Soweit Prüfungsverfahren nicht vollständig durch Rechtsverordnungen nach diesem Abschnitt geregelt sind, kann in ihnen bestimmt werden, dass die Industrie- und Handelskammern, wenn diese für die Durchführung von Prüfungen zuständig sind, durch Satzung Einzelheiten des Prüfungsverfahrens regeln. Regelungen sind insbesondere erforderlich über</w:t>
      </w:r>
    </w:p>
    <w:p>
      <w:pPr>
        <w:ind w:left="420"/>
      </w:pPr>
      <w:r>
        <w:t xml:space="preserve">1. die genaue Zusammensetzung eines Prüfungsausschusses, insbesondere hinsichtlich der Anzahl und der Qualifikation seiner Mitglieder,</w:t>
      </w:r>
    </w:p>
    <w:p>
      <w:pPr>
        <w:ind w:left="420"/>
      </w:pPr>
      <w:r>
        <w:t xml:space="preserve">2. die Berufung der Mitglieder des Prüfungsausschusses und deren Abberufung,</w:t>
      </w:r>
    </w:p>
    <w:p>
      <w:pPr>
        <w:ind w:left="420"/>
      </w:pPr>
      <w:r>
        <w:t xml:space="preserve">3. das Verfahren des Prüfungsausschusses, insbesondere über die Beschlussfassung und den Ausschluss von der Mitwirkung,</w:t>
      </w:r>
    </w:p>
    <w:p>
      <w:pPr>
        <w:ind w:left="420"/>
      </w:pPr>
      <w:r>
        <w:t xml:space="preserve">4. die Dauer der Prüfung,</w:t>
      </w:r>
    </w:p>
    <w:p>
      <w:pPr>
        <w:ind w:left="420"/>
      </w:pPr>
      <w:r>
        <w:t xml:space="preserve">5. die Zulassung zum praktischen Teil der Prüfung,</w:t>
      </w:r>
    </w:p>
    <w:p>
      <w:pPr>
        <w:ind w:left="420"/>
      </w:pPr>
      <w:r>
        <w:t xml:space="preserve">6. den Gegenstand und die Dauer der spezifischen Sachkundeprüfung nach § 13c Absatz 2 Satz 1,</w:t>
      </w:r>
    </w:p>
    <w:p>
      <w:pPr>
        <w:ind w:left="420"/>
      </w:pPr>
      <w:r>
        <w:t xml:space="preserve">7. den Nachteilsausgleich für Menschen mit Behinderung,</w:t>
      </w:r>
    </w:p>
    <w:p>
      <w:pPr>
        <w:ind w:left="420"/>
      </w:pPr>
      <w:r>
        <w:t xml:space="preserve">8. die Bewertung der Prüfungsleistungen,</w:t>
      </w:r>
    </w:p>
    <w:p>
      <w:pPr>
        <w:ind w:left="420"/>
      </w:pPr>
      <w:r>
        <w:t xml:space="preserve">9. die Folgen von Verstößen gegen Prüfungsvorschriften,</w:t>
      </w:r>
    </w:p>
    <w:p>
      <w:pPr>
        <w:ind w:left="420"/>
      </w:pPr>
      <w:r>
        <w:t xml:space="preserve">10. die Wiederholungsprüfung sowie</w:t>
      </w:r>
    </w:p>
    <w:p>
      <w:pPr>
        <w:ind w:left="420"/>
      </w:pPr>
      <w:r>
        <w:t xml:space="preserve">11. die Niederschrift über die Prüfung.</w:t>
      </w:r>
    </w:p>
    <w:p>
      <w:r>
        <w:t xml:space="preserve">(2) Soweit in Rechtsverordnungen nach diesem Abschnitt für die Auswahl von Prüfungsfragen für Sachkundeprüfungen die Bildung von Aufgabenauswahlausschüssen vorgesehen ist, obliegt die Errichtung der Aufgabenauswahlausschüsse nach Maßgabe des Satzes 2 den Industrie- und Handelskammern, die sich dabei der in § 32 Absatz 2 des Umweltauditgesetzes bezeichneten Stelle (gemeinsame Stelle) bedienen. In den Rechtsverordnungen sind Einzelheiten zur Errichtung der Aufgabenauswahlausschüsse, insbesondere hinsichtlich der Zusammensetzung, zu bestimmen.</w:t>
      </w:r>
    </w:p>
    <w:p>
      <w:r>
        <w:rPr>
          <w:color w:val="555555"/>
          <w:sz w:val="17"/>
        </w:rPr>
        <w:t xml:space="preserve">Zitiervorschlag: § 32 GewO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https://recht.nulegal.eu/gesetze/GewO/32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