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155a GewO — Maßnahmen zu Zwecken des Zeugenschutzes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25.06.2026 (konsolidierte Textfassung, kein amtliches Inkrafttretensdatum)</w:t>
      </w:r>
    </w:p>
    <w:p>
      <w:r>
        <w:t xml:space="preserve">§ 44a des Bundeszentralregistergesetzes gilt entsprechend.</w:t>
      </w:r>
    </w:p>
    <w:p>
      <w:r>
        <w:rPr>
          <w:color w:val="555555"/>
          <w:sz w:val="17"/>
        </w:rPr>
        <w:t xml:space="preserve">Zitiervorschlag: § 155a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https://recht.nulegal.eu/gesetze/GewO/155a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