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150d GewO — Protokollierungen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31.08.2020 (konsolidierte Textfassung, kein amtliches Inkrafttretensdatum)</w:t>
      </w:r>
    </w:p>
    <w:p>
      <w:r>
        <w:t xml:space="preserve">(1) Die Registerbehörde fertigt zu den von ihr erteilten Auskünften Protokolle, die folgende Daten enthalten:</w:t>
      </w:r>
    </w:p>
    <w:p>
      <w:pPr>
        <w:ind w:left="420"/>
      </w:pPr>
      <w:r>
        <w:t xml:space="preserve">1. die Vorschrift des Gesetzes, auf der die Auskunft beruht,</w:t>
      </w:r>
    </w:p>
    <w:p>
      <w:pPr>
        <w:ind w:left="420"/>
      </w:pPr>
      <w:r>
        <w:t xml:space="preserve">2. die in der Anfrage und der Auskunft verwendeten Daten der betroffenen Person,</w:t>
      </w:r>
    </w:p>
    <w:p>
      <w:pPr>
        <w:ind w:left="420"/>
      </w:pPr>
      <w:r>
        <w:t xml:space="preserve">3. die Bezeichnung der Stelle, die um Erteilung der Auskunft ersucht hat, sowie die Bezeichnung der empfangenden Stelle,</w:t>
      </w:r>
    </w:p>
    <w:p>
      <w:pPr>
        <w:ind w:left="420"/>
      </w:pPr>
      <w:r>
        <w:t xml:space="preserve">4. den Zeitpunkt der Auskunftserteilung,</w:t>
      </w:r>
    </w:p>
    <w:p>
      <w:pPr>
        <w:ind w:left="420"/>
      </w:pPr>
      <w:r>
        <w:t xml:space="preserve">5. den Namen der Person, die die Auskunft erteilt hat,</w:t>
      </w:r>
    </w:p>
    <w:p>
      <w:pPr>
        <w:ind w:left="420"/>
      </w:pPr>
      <w:r>
        <w:t xml:space="preserve">6. das Aktenzeichen oder den Zweck, wenn keine Auskunft nach § 150 Absatz 1 vorliegt.</w:t>
      </w:r>
    </w:p>
    <w:p>
      <w:r>
        <w:t xml:space="preserve">(2) Die Protokolldaten dürfen nur zu internen Prüfzwecken, zur Datenschutzkontrolle und zur Auskunft aus Protokolldaten entsprechend Absatz 3 verarbeitet werden. Sie sind durch geeignete Vorkehrungen gegen Missbrauch zu schützen. Die Protokolldaten sind nach einem Jahr zu löschen, es sei denn, sie werden weiterhin für Zwecke nach Satz 1 benötigt. Danach sind sie unverzüglich zu löschen.</w:t>
      </w:r>
    </w:p>
    <w:p>
      <w:r>
        <w:t xml:space="preserve">(3) Soweit sich das Auskunftsrecht der betroffenen Person nach Artikel 15 der Verordnung (EU) 2016/679 auf Auskünfte bezieht, die einer Stelle nach § 150a Absatz 1 Satz 2 oder Absatz 2 erteilt wurden, entscheidet die Registerbehörde über die Beschränkung des Auskunftsrechts nach Maßgabe des Bundesdatenschutzgesetzes im Einvernehmen mit dieser Stelle. Für die Antragsberechtigung und das Verfahren gilt § 150 Absatz 2 bis 4 entsprechend.</w:t>
      </w:r>
    </w:p>
    <w:p>
      <w:r>
        <w:rPr>
          <w:color w:val="555555"/>
          <w:sz w:val="17"/>
        </w:rPr>
        <w:t xml:space="preserve">Zitiervorschlag: § 150d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https://recht.nulegal.eu/gesetze/GewO/150d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