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150a GewO — Auskunft an Behörden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(1) Auskünfte aus dem Register werden für</w:t>
      </w:r>
    </w:p>
    <w:p>
      <w:pPr>
        <w:ind w:left="420"/>
      </w:pPr>
      <w:r>
        <w:t xml:space="preserve">1. die Verfolgung wegen einer</w:t>
      </w:r>
    </w:p>
    <w:p>
      <w:pPr>
        <w:ind w:left="780"/>
      </w:pPr>
      <w:r>
        <w:t xml:space="preserve">a) in § 148 Nr. 1,</w:t>
      </w:r>
    </w:p>
    <w:p>
      <w:pPr>
        <w:ind w:left="780"/>
      </w:pPr>
      <w:r>
        <w:t xml:space="preserve">b) in § 404 Abs. 1, 2 Nr. 3 des Dritten Buches Sozialgesetzbuch, in § 8 Abs. 1 des Schwarzarbeitsbekämpfungsgesetzes, § 21 Absatz 1 Nummer 1 bis 10, 12 und 13 sowie Absatz 2 des Mindestlohngesetzes, in § 23 Absatz 1 Nummer 1 bis 11 und 13 sowie Absatz 2 des Arbeitnehmer-Entsendegesetzes und in § 16 Abs. 1 bis 2 des Arbeitnehmerüberlassungsgesetzes</w:t>
      </w:r>
    </w:p>
    <w:p>
      <w:pPr>
        <w:ind w:left="420"/>
      </w:pPr>
      <w:r>
        <w:t xml:space="preserve">bezeichneten Ordnungswidrigkeit,</w:t>
      </w:r>
    </w:p>
    <w:p>
      <w:pPr>
        <w:ind w:left="420"/>
      </w:pPr>
      <w:r>
        <w:t xml:space="preserve">2. die Vorbereitung</w:t>
      </w:r>
    </w:p>
    <w:p>
      <w:pPr>
        <w:ind w:left="780"/>
      </w:pPr>
      <w:r>
        <w:t xml:space="preserve">a) der Entscheidung über die in § 149 Absatz 2 Satz 1 Nr. 1 Buchstabe a und c bezeichneten Anträge,</w:t>
      </w:r>
    </w:p>
    <w:p>
      <w:pPr>
        <w:ind w:left="780"/>
      </w:pPr>
      <w:r>
        <w:t xml:space="preserve">b) der übrigen in § 149 Absatz 2 Satz 1 Nr. 1 Buchstabe a bis e bezeichneten Entscheidungen,</w:t>
      </w:r>
    </w:p>
    <w:p>
      <w:pPr>
        <w:ind w:left="780"/>
      </w:pPr>
      <w:r>
        <w:t xml:space="preserve">c) von Verwaltungsentscheidungen auf Grund des Straßenverkehrsgesetzes, des Fahrlehrergesetzes, des Fahrpersonalgesetzes, des Binnenschiffahrtsaufgabengesetzes oder der auf Grund dieser Gesetze erlassenen Rechtsvorschriften über Eintragungen, die das Personenbeförderungsgesetz oder das Güterkraftverkehrsgesetz betreffen,</w:t>
      </w:r>
    </w:p>
    <w:p>
      <w:pPr>
        <w:ind w:left="420"/>
      </w:pPr>
      <w:r>
        <w:t xml:space="preserve">3. die Vorbereitung von Rechtsvorschriften und allgemeinen Verwaltungsvorschriften, insoweit nur in anonymisierter Form,</w:t>
      </w:r>
    </w:p>
    <w:p>
      <w:pPr>
        <w:ind w:left="420"/>
      </w:pPr>
      <w:r>
        <w:t xml:space="preserve">4. (weggefallen)</w:t>
      </w:r>
    </w:p>
    <w:p>
      <w:r>
        <w:t xml:space="preserve">erteilt. Auskunftsberechtigt sind die Behörden, denen die in Satz 1 bezeichneten Aufgaben obliegen.</w:t>
      </w:r>
    </w:p>
    <w:p>
      <w:r>
        <w:t xml:space="preserve">(2) Auskünfte aus dem Register werden ferner</w:t>
      </w:r>
    </w:p>
    <w:p>
      <w:pPr>
        <w:ind w:left="420"/>
      </w:pPr>
      <w:r>
        <w:t xml:space="preserve">1. den Gerichten und Staatsanwaltschaften über die in § 149 Absatz 2 Satz 1 Nr. 1 und 2 bezeichneten Eintragungen für Zwecke der Rechtspflege, zur Verfolgung von Straftaten nach § 148 Nr. 1, nach § 95 Abs. 1 Nr. 4 des Aufenthaltsgesetzes und § 27 Absatz 2 Nummer 2 des Jugendschutzgesetzes auch über die in § 149 Absatz 2 Satz 1 Nr. 3 bezeichneten Eintragungen,</w:t>
      </w:r>
    </w:p>
    <w:p>
      <w:pPr>
        <w:ind w:left="420"/>
      </w:pPr>
      <w:r>
        <w:t xml:space="preserve">2. den Kriminaldienst verrichtenden Dienststellen der Polizei für Zwecke der Verhütung und Verfolgung der in § 74c Abs. 1 Nr. 1 bis 6 des Gerichtsverfassungsgesetzes aufgeführten Straftaten über die in § 149 Absatz 2 Satz 1 Nr. 1 und 2 bezeichneten Eintragungen,</w:t>
      </w:r>
    </w:p>
    <w:p>
      <w:pPr>
        <w:ind w:left="420"/>
      </w:pPr>
      <w:r>
        <w:t xml:space="preserve">3. den zuständigen Behörden für die Aufhebung der in § 149 Absatz 2 Satz 1 Nr. 3 bezeichneten Bußgeldentscheidungen, auch wenn die Geldbuße weniger als 200 Euro beträgt,</w:t>
      </w:r>
    </w:p>
    <w:p>
      <w:pPr>
        <w:ind w:left="420"/>
      </w:pPr>
      <w:r>
        <w:t xml:space="preserve">4. den nach § 82 Absatz 1 des Gesetzes gegen Wettbewerbsbeschränkungen zuständigen Behörden zur Verfolgung von Ordnungswidrigkeiten nach § 81 Abs. 1 bis 3 des Gesetzes gegen Wettbewerbsbeschränkungen über die in § 149 Abs. 2 Satz 1 Nr. 3 bezeichneten Eintragungen,</w:t>
      </w:r>
    </w:p>
    <w:p>
      <w:pPr>
        <w:ind w:left="420"/>
      </w:pPr>
      <w:r>
        <w:t xml:space="preserve">5. der Zentralstelle für Finanztransaktionsuntersuchungen zur Erfüllung ihrer Aufgaben nach dem Geldwäschegesetz,</w:t>
      </w:r>
    </w:p>
    <w:p>
      <w:pPr>
        <w:ind w:left="420"/>
      </w:pPr>
      <w:r>
        <w:t xml:space="preserve">6. den Verfassungsschutzbehörden des Bundes und der Länder, dem Bundesnachrichtendienst und dem Militärischen Abschirmdienst für die diesen Behörden übertragenen Sicherheitsaufgaben nach dem Sicherheitsüberprüfungsgesetz des Bundes oder einer entsprechenden landesrechtlichen Vorschrift,</w:t>
      </w:r>
    </w:p>
    <w:p>
      <w:pPr>
        <w:ind w:left="420"/>
      </w:pPr>
      <w:r>
        <w:t xml:space="preserve">7. der Zentralstelle für Sanktionsdurchsetzung,</w:t>
      </w:r>
    </w:p>
    <w:p>
      <w:pPr>
        <w:ind w:left="420"/>
      </w:pPr>
      <w:r>
        <w:t xml:space="preserve">8. der Bundesnetzagentur für Elektrizität, Gas, Telekommunikation, Post und Eisenbahnen zur Wahrnehmung ihrer Aufgaben nach Kapitel 2 des Postgesetzes über die in § 149 Absatz 2 Satz 1 Nummer 3 bezeichneten Eintragungen</w:t>
      </w:r>
    </w:p>
    <w:p>
      <w:r>
        <w:t xml:space="preserve">erteilt.</w:t>
      </w:r>
    </w:p>
    <w:p>
      <w:r>
        <w:t xml:space="preserve">(3) Auskünfte über Bußgeldentscheidungen wegen einer Steuerordnungswidrigkeit dürfen nur in den in Absatz 1 Satz 1 Nr. 1 und 2 genannten Fällen erteilt werden.</w:t>
      </w:r>
    </w:p>
    <w:p>
      <w:r>
        <w:t xml:space="preserve">(4) Die auskunftsberechtigten Stellen haben den Zweck anzugeben, für den die Auskunft benötigt wird.</w:t>
      </w:r>
    </w:p>
    <w:p>
      <w:r>
        <w:t xml:space="preserve">(5) Die Auskünfte aus dem Register dürfen nur den mit der Entgegennahme oder Bearbeitung betrauten Bediensteten zur Kenntnis gebracht werden.</w:t>
      </w:r>
    </w:p>
    <w:p>
      <w:r>
        <w:t xml:space="preserve">(6) Soweit eine Auskunft nach den Absätzen 1 und 2 nur für eingeschränkte Zwecke erteilt wird, darf die auskunftsberechtigte Stelle nicht die Vorlage einer Auskunft nach § 150 Absatz 1 verlangen.</w:t>
      </w:r>
    </w:p>
    <w:p>
      <w:r>
        <w:rPr>
          <w:color w:val="555555"/>
          <w:sz w:val="17"/>
        </w:rPr>
        <w:t xml:space="preserve">Zitiervorschlag: § 150a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https://recht.nulegal.eu/gesetze/GewO/150a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