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150 GewO — Auskunft auf Antrag der betroffenen Person</w:t>
      </w:r>
    </w:p>
    <w:p>
      <w:r>
        <w:rPr>
          <w:color w:val="555555"/>
          <w:sz w:val="18"/>
        </w:rPr>
        <w:t xml:space="preserve">Gewerbeordnung</w:t>
      </w:r>
    </w:p>
    <w:p>
      <w:r>
        <w:rPr>
          <w:color w:val="555555"/>
          <w:sz w:val="18"/>
        </w:rPr>
        <w:t xml:space="preserve">Stand: 14.03.2026 (konsolidierte Textfassung, kein amtliches Inkrafttretensdatum)</w:t>
      </w:r>
    </w:p>
    <w:p>
      <w:r>
        <w:t xml:space="preserve">(1) Auf Antrag erteilt die Registerbehörde einer Person Auskunft über den sie betreffenden Inhalt des Registers. Das Auskunftsrecht nach Artikel 15 der Verordnung (EU) 2016/679 wird dadurch gewährleistet, dass die Registerbehörde der betroffenen Person einen formlosen kostenfreien Auszug über den sie betreffenden Inhalt des Registers erteilt.</w:t>
      </w:r>
    </w:p>
    <w:p>
      <w:r>
        <w:t xml:space="preserve">(2) Wohnt der Antragsteller innerhalb des Geltungsbereichs dieses Gesetzes, ist der Antrag bei der nach § 155 Absatz 2 zuständigen Behörde zu stellen; sofern der Antragsteller nicht persönlich erscheint, ist eine schriftliche Antragstellung mit amtlich oder öffentlich beglaubigter Unterschrift des Antragstellers zulässig. Der Antragsteller hat seine Identität und, wenn er als gesetzlicher Vertreter handelt, seine Vertretungsmacht nachzuweisen; er kann sich bei der Antragstellung durch einen Bevollmächtigten oder eine Bevollmächtigte nur vertreten lassen, wenn die Bevollmächtigung im Handels- oder Genossenschaftsregister eingetragen ist. Die Behörde nimmt die Gebühr für die Auskunft entgegen, behält davon drei Achtel ein und führt den Restbetrag an die Bundeskasse ab.</w:t>
      </w:r>
    </w:p>
    <w:p>
      <w:r>
        <w:t xml:space="preserve">(3) Wohnt der Antragsteller außerhalb des Geltungsbereichs dieses Gesetzes, so kann er den Antrag unmittelbar bei der Registerbehörde stellen. Absatz 2 Satz 2 gilt entsprechend.</w:t>
      </w:r>
    </w:p>
    <w:p>
      <w:r>
        <w:t xml:space="preserve">(4) Die Übersendung der Auskunft an eine andere Person als die betroffene Person ist nicht zulässig.</w:t>
      </w:r>
    </w:p>
    <w:p>
      <w:r>
        <w:t xml:space="preserve">(5) Für die Vorbereitung der Entscheidung über einen Antrag auf Zulassung zu einem Gewerbe oder einer sonstigen wirtschaftlichen Unternehmung, auf öffentliche Bestellung und Vereidigung nach § 36, auf Erteilung eines Befähigungsscheins nach § 20 des Sprengstoffgesetzes oder zur Überprüfung der Zuverlässigkeit nach § 38 Abs. 1 kann die Auskunft auch zur Vorlage bei einer Behörde beantragt werden. Dies gilt auch für Zwecke einer Zuverlässigkeitsüberprüfung durch die Bundesanstalt für Finanzdienstleistungsaufsicht. Wird die Auskunft zur Vorlage bei einer Behörde beantragt, ist sie der Behörde unmittelbar zu übersenden.</w:t>
      </w:r>
    </w:p>
    <w:p>
      <w:r>
        <w:rPr>
          <w:color w:val="555555"/>
          <w:sz w:val="17"/>
        </w:rPr>
        <w:t xml:space="preserve">Zitiervorschlag: § 150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https://recht.nulegal.eu/gesetze/GewO/150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