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 GewO — Strafbare Verletzung gewerberechtlicher Vorschriften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 wer</w:t>
      </w:r>
    </w:p>
    <w:p>
      <w:pPr>
        <w:ind w:left="420"/>
      </w:pPr>
      <w:r>
        <w:t xml:space="preserve">1. eine in § 144 Abs. 1, § 145 Abs. 1, 2 Nr. 2 oder 6 oder § 146 Abs. 1 bezeichnete Zuwiderhandlung beharrlich wiederholt oder</w:t>
      </w:r>
    </w:p>
    <w:p>
      <w:pPr>
        <w:ind w:left="420"/>
      </w:pPr>
      <w:r>
        <w:t xml:space="preserve">2. durch eine in § 144 Abs. 1 Nr. 1 Buchstabe b, Absatz 2 Nummer 1a oder Nummer 1b, § 145 Abs. 1, 2 Nr. 1 oder 2, oder § 146 Abs. 1 bezeichnete Zuwiderhandlung Leben oder Gesundheit eines anderen oder fremde Sachen von bedeutendem Wert gefährdet.</w:t>
      </w:r>
    </w:p>
    <w:p>
      <w:r>
        <w:rPr>
          <w:color w:val="555555"/>
          <w:sz w:val="17"/>
        </w:rPr>
        <w:t xml:space="preserve">Zitiervorschlag: § 148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