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147 GewO — Verletzung von Arbeitsschutzvorschriften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eine Besichtigung oder Prüfung nach § 139b Abs. 1 Satz 2, Abs. 4, 6 Satz 1 oder 2 nicht gestattet oder</w:t>
      </w:r>
    </w:p>
    <w:p>
      <w:pPr>
        <w:ind w:left="420"/>
      </w:pPr>
      <w:r>
        <w:t xml:space="preserve">2. entgegen § 139b Abs. 5 eine vorgeschriebene statistische Mitteilung nicht, nicht richtig, nicht vollständig oder nicht rechtzeitig macht.</w:t>
      </w:r>
    </w:p>
    <w:p>
      <w:r>
        <w:t xml:space="preserve">(2) Die Ordnungswidrigkeit kann mit einer Geldbuße geahndet werden.</w:t>
      </w:r>
    </w:p>
    <w:p>
      <w:r>
        <w:rPr>
          <w:color w:val="555555"/>
          <w:sz w:val="17"/>
        </w:rPr>
        <w:t xml:space="preserve">Zitiervorschlag: § 147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https://recht.nulegal.eu/gesetze/GewO/147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