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146 GewO — Verletzung sonstiger Vorschriften über die Ausübung eines Gewerbes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einer vollziehbaren Anordnung</w:t>
      </w:r>
    </w:p>
    <w:p>
      <w:pPr>
        <w:ind w:left="780"/>
      </w:pPr>
      <w:r>
        <w:t xml:space="preserve">a) nach § 35 Abs. 1 Satz 1 oder 2,</w:t>
      </w:r>
    </w:p>
    <w:p>
      <w:pPr>
        <w:ind w:left="780"/>
      </w:pPr>
      <w:r>
        <w:t xml:space="preserve">b) nach § 35 Abs. 7a Satz 1, 3 in Verbindung mit Abs. 1 Satz 1 oder 2 oder</w:t>
      </w:r>
    </w:p>
    <w:p>
      <w:pPr>
        <w:ind w:left="780"/>
      </w:pPr>
      <w:r>
        <w:t xml:space="preserve">c) nach § 35 Abs. 9 in Verbindung mit den in den Buchstaben a oder b genannten Vorschriften</w:t>
      </w:r>
    </w:p>
    <w:p>
      <w:pPr>
        <w:ind w:left="420"/>
      </w:pPr>
      <w:r>
        <w:t xml:space="preserve">zuwiderhandelt,</w:t>
      </w:r>
    </w:p>
    <w:p>
      <w:pPr>
        <w:ind w:left="420"/>
      </w:pPr>
      <w:r>
        <w:t xml:space="preserve">1a. einer mit einer Erlaubnis nach § 35 Abs. 2, auch in Verbindung mit Abs. 9, verbundenen vollziehbaren Auflage zuwiderhandelt oder</w:t>
      </w:r>
    </w:p>
    <w:p>
      <w:pPr>
        <w:ind w:left="420"/>
      </w:pPr>
      <w:r>
        <w:t xml:space="preserve">2. entgegen einer vollziehbaren Anordnung nach § 51 Satz 1 eine gewerbliche Anlage benutzt.</w:t>
      </w:r>
    </w:p>
    <w:p>
      <w:r>
        <w:t xml:space="preserve">(2) Ordnungswidrig handelt ferner, wer vorsätzlich oder fahrlässig</w:t>
      </w:r>
    </w:p>
    <w:p>
      <w:pPr>
        <w:ind w:left="420"/>
      </w:pPr>
      <w:r>
        <w:t xml:space="preserve">1. einer Rechtsverordnung nach § 6c oder einer vollziehbaren Anordnung auf Grund einer solchen Rechtsverordnung zuwiderhandelt, soweit die Rechtsverordnung für einen bestimmten Tatbestand auf diese Bußgeldvorschrift verweist,</w:t>
      </w:r>
    </w:p>
    <w:p>
      <w:pPr>
        <w:ind w:left="420"/>
      </w:pPr>
      <w:r>
        <w:t xml:space="preserve">1a. entgegen § 7 Absatz 1 Satz 1, auch in Verbindung mit Satz 2, oder § 11b Absatz 6 Satz 2 oder 3 eine Mitteilung nicht, nicht richtig, nicht vollständig, nicht in der vorgeschriebenen Weise oder nicht rechtzeitig macht,</w:t>
      </w:r>
    </w:p>
    <w:p>
      <w:pPr>
        <w:ind w:left="420"/>
      </w:pPr>
      <w:r>
        <w:t xml:space="preserve">2. entgegen</w:t>
      </w:r>
    </w:p>
    <w:p>
      <w:pPr>
        <w:ind w:left="780"/>
      </w:pPr>
      <w:r>
        <w:t xml:space="preserve">a) § 13a Absatz 1 Satz 1 oder Absatz 6 Satz 2,</w:t>
      </w:r>
    </w:p>
    <w:p>
      <w:pPr>
        <w:ind w:left="780"/>
      </w:pPr>
      <w:r>
        <w:t xml:space="preserve">b) § 14 Absatz 1 Satz 1, auch in Verbindung mit Satz 2, Absatz 2 oder einer Rechtsverordnung nach § 14 Absatz 14 Satz 2 Nummer 1, oder</w:t>
      </w:r>
    </w:p>
    <w:p>
      <w:pPr>
        <w:ind w:left="780"/>
      </w:pPr>
      <w:r>
        <w:t xml:space="preserve">c) § 14 Absatz 3 Satz 1</w:t>
      </w:r>
    </w:p>
    <w:p>
      <w:pPr>
        <w:ind w:left="420"/>
      </w:pPr>
      <w:r>
        <w:t xml:space="preserve">eine Anzeige nicht, nicht richtig, nicht vollständig oder nicht rechtzeitig erstattet,</w:t>
      </w:r>
    </w:p>
    <w:p>
      <w:pPr>
        <w:ind w:left="420"/>
      </w:pPr>
      <w:r>
        <w:t xml:space="preserve">3. entgegen § 14 Absatz 3 Satz 2 oder Satz 3 eine dort genannte Angabe nicht, nicht richtig, nicht vollständig, nicht in der vorgeschriebenen Weise oder nicht rechtzeitig anbringt,</w:t>
      </w:r>
    </w:p>
    <w:p>
      <w:pPr>
        <w:ind w:left="420"/>
      </w:pPr>
      <w:r>
        <w:t xml:space="preserve">4. entgegen § 29 Abs. 1, auch in Verbindung mit Abs. 4, jeweils auch in Verbindung mit § 61a Abs. 1 oder § 71b Abs. 1, eine Auskunft nicht, nicht richtig, nicht vollständig oder nicht rechtzeitig erteilt,</w:t>
      </w:r>
    </w:p>
    <w:p>
      <w:pPr>
        <w:ind w:left="420"/>
      </w:pPr>
      <w:r>
        <w:t xml:space="preserve">5. im Wochenmarktverkehr andere als nach § 67 Abs. 1 oder 2 zugelassene Waren feilbietet,</w:t>
      </w:r>
    </w:p>
    <w:p>
      <w:pPr>
        <w:ind w:left="420"/>
      </w:pPr>
      <w:r>
        <w:t xml:space="preserve">6. entgegen § 69 Abs. 3 eine Anzeige nicht, nicht richtig oder nicht rechtzeitig erstattet,</w:t>
      </w:r>
    </w:p>
    <w:p>
      <w:pPr>
        <w:ind w:left="420"/>
      </w:pPr>
      <w:r>
        <w:t xml:space="preserve">7. einer vollziehbaren Auflage nach § 69a Abs. 2, auch in Verbindung mit § 60b Abs. 2 erster Halbsatz, zuwiderhandelt,</w:t>
      </w:r>
    </w:p>
    <w:p>
      <w:pPr>
        <w:ind w:left="420"/>
      </w:pPr>
      <w:r>
        <w:t xml:space="preserve">8. einer vollziehbaren Anordnung nach § 70a Abs. 1, auch in Verbindung mit § 60b Abs. 2, zuwiderhandelt, durch die die Teilnahme an einer dort genannten Veranstaltung</w:t>
      </w:r>
    </w:p>
    <w:p>
      <w:pPr>
        <w:ind w:left="780"/>
      </w:pPr>
      <w:r>
        <w:t xml:space="preserve">a) zum Zwecke der Ausübung einer Tätigkeit nach § 34f Absatz 1 Satz 1 oder § 34h Absatz 1 Satz 1 oder</w:t>
      </w:r>
    </w:p>
    <w:p>
      <w:pPr>
        <w:ind w:left="780"/>
      </w:pPr>
      <w:r>
        <w:t xml:space="preserve">b) zum Zwecke der Ausübung einer sonstigen gewerbsmäßigen Tätigkeit untersagt wird,</w:t>
      </w:r>
    </w:p>
    <w:p>
      <w:pPr>
        <w:ind w:left="420"/>
      </w:pPr>
      <w:r>
        <w:t xml:space="preserve">9. entgegen § 70a Abs. 3 das Versteigerergewerbe auf einer Veranstaltung im Sinne der §§ 64 bis 68 ausübt,</w:t>
      </w:r>
    </w:p>
    <w:p>
      <w:pPr>
        <w:ind w:left="420"/>
      </w:pPr>
      <w:r>
        <w:t xml:space="preserve">10. (weggefallen)</w:t>
      </w:r>
    </w:p>
    <w:p>
      <w:pPr>
        <w:ind w:left="420"/>
      </w:pPr>
      <w:r>
        <w:t xml:space="preserve">11. einer Rechtsverordnung nach § 71b Abs. 2 Satz 1 in Verbindung mit § 34a Abs. 2, § 34b Abs. 8, § 34e Absatz 1 Satz 1 Nummer 2, 4 oder 7, Absatz 2 oder 3 oder einer vollziehbaren Anordnung auf Grund einer solchen Rechtsverordnung zuwiderhandelt, soweit die Rechtsverordnung für einen bestimmten Tatbestand auf diese Bußgeldvorschrift verweist,</w:t>
      </w:r>
    </w:p>
    <w:p>
      <w:pPr>
        <w:ind w:left="420"/>
      </w:pPr>
      <w:r>
        <w:t xml:space="preserve">11a. einer Rechtsverordnung nach § 71b Abs. 2 Satz 1 in Verbindung mit § 34c Abs. 3, § 34g Absatz 1 Satz 1 oder Absatz 2 Satz 1 Nummer 1, 2 oder Nummer 4 oder Satz 2 oder § 34j oder einer vollziehbaren Anordnung auf Grund dieser Rechtsverordnung zuwiderhandelt, soweit die Rechtsverordnung für einen bestimmten Tatbestand auf diese Bußgeldvorschrift verweist oder</w:t>
      </w:r>
    </w:p>
    <w:p>
      <w:pPr>
        <w:ind w:left="420"/>
      </w:pPr>
      <w:r>
        <w:t xml:space="preserve">12. entgegen einer nach § 133 Abs. 2 Satz 1 ergangenen Rechtsverordnung die Berufsbezeichnung "Baumeister" oder eine Berufsbezeichnung führt, die das Wort "Baumeister" enthält und auf eine Tätigkeit im Baugewerbe hinweist.</w:t>
      </w:r>
    </w:p>
    <w:p>
      <w:r>
        <w:t xml:space="preserve">(3) Die Ordnungswidrigkeit kann in den Fällen des Absatzes 2 Nr. 8 Buchstabe a mit einer Geldbuße bis zu fünfzigtausend Euro, in den Fällen der Absätze 1 und 2 Nummer 1a und 11a mit einer Geldbuße bis zu fünftausend Euro, in den Fällen des Absatzes 2 Nr. 4 und 7 mit einer Geldbuße bis zu zweitausendfünfhundert Euro, in den übrigen Fällen des Absatzes 2 mit einer Geldbuße bis zu eintausend Euro geahndet werden.</w:t>
      </w:r>
    </w:p>
    <w:p>
      <w:r>
        <w:rPr>
          <w:color w:val="555555"/>
          <w:sz w:val="17"/>
        </w:rPr>
        <w:t xml:space="preserve">Zitiervorschlag: § 146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