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13b GewO — Anerkennung ausländischer Unterlagen und Bescheinigungen</w:t>
      </w:r>
    </w:p>
    <w:p>
      <w:r>
        <w:rPr>
          <w:color w:val="555555"/>
          <w:sz w:val="18"/>
        </w:rPr>
        <w:t xml:space="preserve">Gewerbeordnung</w:t>
      </w:r>
    </w:p>
    <w:p>
      <w:r>
        <w:rPr>
          <w:color w:val="555555"/>
          <w:sz w:val="18"/>
        </w:rPr>
        <w:t xml:space="preserve">Stand: 10.06.2019 (konsolidierte Textfassung, kein amtliches Inkrafttretensdatum)</w:t>
      </w:r>
    </w:p>
    <w:p>
      <w:r>
        <w:t xml:space="preserve">(1) Soweit nach diesem Gesetz oder einer auf Grund dieses Gesetzes erlassenen Rechtsverordnung die Zuverlässigkeit oder die Vermögensverhältnisse einer Person zu prüfen sind, sind als Nachweis für die Zuverlässigkeit und für geordnete Vermögensverhältnisse von Gewerbetreibenden aus einem anderen Mitgliedstaat der Europäischen Union oder einem anderen Vertragsstaat des Abkommens über den Europäischen Wirtschaftsraum Unterlagen als ausreichend anzuerkennen, die im Herkunftsstaat ausgestellt wurden und die belegen, dass die Anforderungen an die Zuverlässigkeit und die geordneten Vermögensverhältnisse des Gewerbetreibenden erfüllt werden. Dabei kann verlangt werden, dass die Unterlagen in beglaubigter Kopie und beglaubigter deutscher Übersetzung vorgelegt werden. Werden im Herkunftsstaat solche Unterlagen nicht ausgestellt, so können sie durch eine Versicherung an Eides statt des Gewerbetreibenden oder nach dem Recht des Herkunftsstaats vergleichbare Handlungen ersetzt werden.</w:t>
      </w:r>
    </w:p>
    <w:p>
      <w:r>
        <w:t xml:space="preserve">(2) Soweit in diesem Gesetz oder einer auf Grund dieses Gesetzes erlassenen Rechtsverordnung ein Nachweis darüber verlangt wird, dass ein Gewerbetreibender gegen die finanziellen Risiken seiner beruflichen Tätigkeit haftpflichtversichert ist, ist von Gewerbetreibenden aus einem anderen Mitgliedstaat der Europäischen Union oder einem anderen Vertragsstaat des Abkommens über den Europäischen Wirtschaftsraum als Nachweis eine Bescheinigung über den Abschluss einer Berufshaftpflichtversicherung als hinreichend anzuerkennen, die von einem Kreditinstitut oder einem Versicherungsunternehmen in einem anderen Mitgliedstaat oder Vertragsstaat ausgestellt wurde, sofern die in diesem Staat abgeschlossene Berufshaftpflichtversicherung im Wesentlichen vergleichbar ist zu der, die von Inländern verlangt wird, und zwar hinsichtlich der Zweckbestimmung, der vorgesehenen Deckung bezüglich des versicherten Risikos, der Versicherungssumme und möglicher Ausnahmen von der Deckung. Bei nur teilweiser Gleichwertigkeit kann eine zusätzliche Sicherheit verlangt werden, die die nicht gedeckten Risiken absichert.</w:t>
      </w:r>
    </w:p>
    <w:p>
      <w:r>
        <w:t xml:space="preserve">(3) Absatz 2 gilt nicht, soweit Tätigkeiten nach den §§ 30, 31, 33c, 33d, 34, 34a, 34c Absatz 1 Satz 1 Nummer 2, den §§ 34d, 34f, 34h, 34i oder nach § 60a ausgeübt werden.</w:t>
      </w:r>
    </w:p>
    <w:p>
      <w:r>
        <w:rPr>
          <w:color w:val="555555"/>
          <w:sz w:val="17"/>
        </w:rPr>
        <w:t xml:space="preserve">Zitiervorschlag: § 13b GewO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https://recht.nulegal.eu/gesetze/GewO/13b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